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9CF2C" w14:textId="453B7342" w:rsidR="00EA5E16" w:rsidRPr="00CD169F" w:rsidRDefault="00F65F1E" w:rsidP="00F54951">
      <w:pPr>
        <w:tabs>
          <w:tab w:val="left" w:pos="7560"/>
        </w:tabs>
        <w:jc w:val="center"/>
        <w:rPr>
          <w:b/>
          <w:bCs/>
          <w:sz w:val="28"/>
          <w:szCs w:val="28"/>
        </w:rPr>
      </w:pPr>
      <w:r w:rsidRPr="00CD169F">
        <w:rPr>
          <w:b/>
          <w:sz w:val="28"/>
          <w:szCs w:val="28"/>
          <w:lang w:eastAsia="lv-LV"/>
        </w:rPr>
        <w:t xml:space="preserve">Ministru kabineta instrukcijas projekta </w:t>
      </w:r>
      <w:r w:rsidR="00CD169F" w:rsidRPr="00CD169F">
        <w:rPr>
          <w:b/>
          <w:sz w:val="28"/>
          <w:szCs w:val="28"/>
          <w:lang w:eastAsia="lv-LV"/>
        </w:rPr>
        <w:t>"</w:t>
      </w:r>
      <w:r w:rsidR="00F54951" w:rsidRPr="00CD169F">
        <w:rPr>
          <w:b/>
          <w:bCs/>
          <w:sz w:val="28"/>
          <w:szCs w:val="28"/>
        </w:rPr>
        <w:t>Ārvalstu finanšu instrumentu finansētu civiltiesisku līgumu izstrādes un slēgšanas instrukcija valsts tiešās pārvaldes iestādēs</w:t>
      </w:r>
      <w:r w:rsidR="00CD169F" w:rsidRPr="00CD169F">
        <w:rPr>
          <w:b/>
          <w:bCs/>
          <w:sz w:val="28"/>
          <w:szCs w:val="28"/>
        </w:rPr>
        <w:t>"</w:t>
      </w:r>
      <w:r w:rsidRPr="00CD169F">
        <w:rPr>
          <w:b/>
          <w:sz w:val="28"/>
          <w:szCs w:val="28"/>
          <w:lang w:eastAsia="lv-LV"/>
        </w:rPr>
        <w:t xml:space="preserve"> </w:t>
      </w:r>
      <w:r w:rsidR="00EA5E16" w:rsidRPr="00CD169F">
        <w:rPr>
          <w:b/>
          <w:sz w:val="28"/>
          <w:szCs w:val="28"/>
          <w:lang w:eastAsia="lv-LV"/>
        </w:rPr>
        <w:t>sākotnējās ietekmes novērtējuma ziņojums (anotācija)</w:t>
      </w:r>
    </w:p>
    <w:p w14:paraId="2D29CF2D" w14:textId="77777777" w:rsidR="00EA5E16" w:rsidRPr="00EA5E16" w:rsidRDefault="00EA5E16" w:rsidP="00EA5E16">
      <w:pPr>
        <w:jc w:val="center"/>
        <w:rPr>
          <w:rFonts w:eastAsia="Times New Roman" w:cs="Times New Roman"/>
          <w:b/>
          <w:bCs/>
          <w:sz w:val="16"/>
          <w:szCs w:val="16"/>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5918"/>
      </w:tblGrid>
      <w:tr w:rsidR="00EA5E16" w:rsidRPr="00520485" w14:paraId="2D29CF2F" w14:textId="77777777" w:rsidTr="00AA3252">
        <w:tc>
          <w:tcPr>
            <w:tcW w:w="9179" w:type="dxa"/>
            <w:gridSpan w:val="3"/>
          </w:tcPr>
          <w:p w14:paraId="2D29CF2E" w14:textId="77777777" w:rsidR="00EA5E16" w:rsidRPr="00520485" w:rsidRDefault="00EA5E16" w:rsidP="00EA5E16">
            <w:pPr>
              <w:jc w:val="center"/>
              <w:rPr>
                <w:rFonts w:eastAsia="Times New Roman" w:cs="Times New Roman"/>
                <w:szCs w:val="24"/>
                <w:lang w:eastAsia="lv-LV"/>
              </w:rPr>
            </w:pPr>
            <w:r w:rsidRPr="00520485">
              <w:rPr>
                <w:rFonts w:eastAsia="Times New Roman" w:cs="Times New Roman"/>
                <w:b/>
                <w:bCs/>
                <w:szCs w:val="24"/>
                <w:lang w:eastAsia="lv-LV"/>
              </w:rPr>
              <w:t>I. Tiesību akta projekta izstrādes nepieciešamība</w:t>
            </w:r>
          </w:p>
        </w:tc>
      </w:tr>
      <w:tr w:rsidR="00EA5E16" w:rsidRPr="00520485" w14:paraId="2D29CF33" w14:textId="77777777" w:rsidTr="00AA3252">
        <w:trPr>
          <w:trHeight w:val="1944"/>
        </w:trPr>
        <w:tc>
          <w:tcPr>
            <w:tcW w:w="426" w:type="dxa"/>
          </w:tcPr>
          <w:p w14:paraId="2D29CF30" w14:textId="77777777" w:rsidR="00EA5E16" w:rsidRPr="00520485" w:rsidRDefault="00EA5E16" w:rsidP="00AA3252">
            <w:pPr>
              <w:pStyle w:val="naisnod"/>
              <w:spacing w:before="0" w:after="0"/>
              <w:ind w:left="34" w:right="-8"/>
              <w:jc w:val="both"/>
            </w:pPr>
            <w:r w:rsidRPr="00520485">
              <w:t>1.</w:t>
            </w:r>
          </w:p>
        </w:tc>
        <w:tc>
          <w:tcPr>
            <w:tcW w:w="2835" w:type="dxa"/>
          </w:tcPr>
          <w:p w14:paraId="2D29CF31" w14:textId="77777777" w:rsidR="00EA5E16" w:rsidRPr="00520485" w:rsidRDefault="00EA5E16" w:rsidP="00EA5E16">
            <w:pPr>
              <w:jc w:val="both"/>
              <w:rPr>
                <w:rFonts w:eastAsia="Times New Roman" w:cs="Times New Roman"/>
                <w:szCs w:val="24"/>
                <w:lang w:eastAsia="lv-LV"/>
              </w:rPr>
            </w:pPr>
            <w:r w:rsidRPr="00520485">
              <w:rPr>
                <w:rFonts w:eastAsia="Times New Roman" w:cs="Times New Roman"/>
                <w:szCs w:val="24"/>
                <w:lang w:eastAsia="lv-LV"/>
              </w:rPr>
              <w:t>Pamatojums</w:t>
            </w:r>
          </w:p>
        </w:tc>
        <w:tc>
          <w:tcPr>
            <w:tcW w:w="5918" w:type="dxa"/>
          </w:tcPr>
          <w:p w14:paraId="2D29CF32" w14:textId="7BFA86FA" w:rsidR="004F1A93" w:rsidRPr="0051296B" w:rsidRDefault="00517268" w:rsidP="00662132">
            <w:pPr>
              <w:tabs>
                <w:tab w:val="left" w:pos="459"/>
              </w:tabs>
              <w:jc w:val="both"/>
              <w:rPr>
                <w:rFonts w:eastAsia="Times New Roman" w:cs="Times New Roman"/>
                <w:bCs/>
                <w:iCs/>
                <w:szCs w:val="24"/>
                <w:lang w:eastAsia="lv-LV"/>
              </w:rPr>
            </w:pPr>
            <w:r>
              <w:rPr>
                <w:rFonts w:eastAsia="Times New Roman" w:cs="Times New Roman"/>
                <w:bCs/>
                <w:iCs/>
                <w:szCs w:val="24"/>
                <w:lang w:eastAsia="lv-LV"/>
              </w:rPr>
              <w:t xml:space="preserve">Ministru kabineta instrukcijas projekts </w:t>
            </w:r>
            <w:r w:rsidR="00CD169F">
              <w:rPr>
                <w:rFonts w:eastAsia="Times New Roman" w:cs="Times New Roman"/>
                <w:bCs/>
                <w:iCs/>
                <w:szCs w:val="24"/>
                <w:lang w:eastAsia="lv-LV"/>
              </w:rPr>
              <w:t>"</w:t>
            </w:r>
            <w:r w:rsidR="001D0AD0" w:rsidRPr="001D0AD0">
              <w:rPr>
                <w:rFonts w:eastAsia="Times New Roman" w:cs="Times New Roman"/>
                <w:bCs/>
                <w:iCs/>
                <w:szCs w:val="24"/>
                <w:lang w:eastAsia="lv-LV"/>
              </w:rPr>
              <w:t>Ārvalstu finanšu instrumentu finansētu civiltiesisku līgumu izstrādes un slēgšanas instrukcija valsts tiešās pārvaldes iestādēs</w:t>
            </w:r>
            <w:r w:rsidR="00CD169F">
              <w:rPr>
                <w:rFonts w:eastAsia="Times New Roman" w:cs="Times New Roman"/>
                <w:bCs/>
                <w:iCs/>
                <w:szCs w:val="24"/>
                <w:lang w:eastAsia="lv-LV"/>
              </w:rPr>
              <w:t>"</w:t>
            </w:r>
            <w:r w:rsidR="001D0AD0" w:rsidRPr="001D0AD0">
              <w:rPr>
                <w:rFonts w:eastAsia="Times New Roman" w:cs="Times New Roman"/>
                <w:bCs/>
                <w:iCs/>
                <w:szCs w:val="24"/>
                <w:lang w:eastAsia="lv-LV"/>
              </w:rPr>
              <w:t xml:space="preserve"> </w:t>
            </w:r>
            <w:r w:rsidR="001D0AD0">
              <w:rPr>
                <w:rFonts w:eastAsia="Times New Roman" w:cs="Times New Roman"/>
                <w:bCs/>
                <w:iCs/>
                <w:szCs w:val="24"/>
                <w:lang w:eastAsia="lv-LV"/>
              </w:rPr>
              <w:t xml:space="preserve">(turpmāk – </w:t>
            </w:r>
            <w:r w:rsidR="00662132">
              <w:rPr>
                <w:rFonts w:eastAsia="Times New Roman" w:cs="Times New Roman"/>
                <w:bCs/>
                <w:iCs/>
                <w:szCs w:val="24"/>
                <w:lang w:eastAsia="lv-LV"/>
              </w:rPr>
              <w:t>i</w:t>
            </w:r>
            <w:r w:rsidR="001D0AD0">
              <w:rPr>
                <w:rFonts w:eastAsia="Times New Roman" w:cs="Times New Roman"/>
                <w:bCs/>
                <w:iCs/>
                <w:szCs w:val="24"/>
                <w:lang w:eastAsia="lv-LV"/>
              </w:rPr>
              <w:t xml:space="preserve">nstrukcijas projekts) </w:t>
            </w:r>
            <w:r>
              <w:rPr>
                <w:rFonts w:eastAsia="Times New Roman" w:cs="Times New Roman"/>
                <w:bCs/>
                <w:iCs/>
                <w:szCs w:val="24"/>
                <w:lang w:eastAsia="lv-LV"/>
              </w:rPr>
              <w:t>izstrādāts</w:t>
            </w:r>
            <w:r w:rsidR="001E0F65">
              <w:rPr>
                <w:rFonts w:eastAsia="Times New Roman" w:cs="Times New Roman"/>
                <w:bCs/>
                <w:iCs/>
                <w:szCs w:val="24"/>
                <w:lang w:eastAsia="lv-LV"/>
              </w:rPr>
              <w:t>,</w:t>
            </w:r>
            <w:r>
              <w:rPr>
                <w:rFonts w:eastAsia="Times New Roman" w:cs="Times New Roman"/>
                <w:bCs/>
                <w:iCs/>
                <w:szCs w:val="24"/>
                <w:lang w:eastAsia="lv-LV"/>
              </w:rPr>
              <w:t xml:space="preserve"> ņemot</w:t>
            </w:r>
            <w:r w:rsidR="001E0F65">
              <w:rPr>
                <w:rFonts w:eastAsia="Times New Roman" w:cs="Times New Roman"/>
                <w:bCs/>
                <w:iCs/>
                <w:szCs w:val="24"/>
                <w:lang w:eastAsia="lv-LV"/>
              </w:rPr>
              <w:t xml:space="preserve"> vērā</w:t>
            </w:r>
            <w:r>
              <w:rPr>
                <w:rFonts w:eastAsia="Times New Roman" w:cs="Times New Roman"/>
                <w:bCs/>
                <w:iCs/>
                <w:szCs w:val="24"/>
                <w:lang w:eastAsia="lv-LV"/>
              </w:rPr>
              <w:t xml:space="preserve"> </w:t>
            </w:r>
            <w:r w:rsidRPr="00502E43">
              <w:rPr>
                <w:rFonts w:eastAsia="Times New Roman" w:cs="Times New Roman"/>
                <w:bCs/>
                <w:iCs/>
                <w:szCs w:val="24"/>
                <w:lang w:eastAsia="lv-LV"/>
              </w:rPr>
              <w:t xml:space="preserve">Ministru prezidentes </w:t>
            </w:r>
            <w:r w:rsidR="004F3510">
              <w:rPr>
                <w:rFonts w:eastAsia="Times New Roman" w:cs="Times New Roman"/>
                <w:bCs/>
                <w:iCs/>
                <w:szCs w:val="24"/>
                <w:lang w:eastAsia="lv-LV"/>
              </w:rPr>
              <w:t>L.</w:t>
            </w:r>
            <w:r w:rsidR="00900E3A">
              <w:rPr>
                <w:rFonts w:eastAsia="Times New Roman" w:cs="Times New Roman"/>
                <w:bCs/>
                <w:iCs/>
                <w:szCs w:val="24"/>
                <w:lang w:eastAsia="lv-LV"/>
              </w:rPr>
              <w:t> </w:t>
            </w:r>
            <w:proofErr w:type="spellStart"/>
            <w:r w:rsidR="004F3510">
              <w:rPr>
                <w:rFonts w:eastAsia="Times New Roman" w:cs="Times New Roman"/>
                <w:bCs/>
                <w:iCs/>
                <w:szCs w:val="24"/>
                <w:lang w:eastAsia="lv-LV"/>
              </w:rPr>
              <w:t>Straujumas</w:t>
            </w:r>
            <w:proofErr w:type="spellEnd"/>
            <w:r w:rsidR="004F3510">
              <w:rPr>
                <w:rFonts w:eastAsia="Times New Roman" w:cs="Times New Roman"/>
                <w:bCs/>
                <w:iCs/>
                <w:szCs w:val="24"/>
                <w:lang w:eastAsia="lv-LV"/>
              </w:rPr>
              <w:t xml:space="preserve"> </w:t>
            </w:r>
            <w:r w:rsidRPr="00502E43">
              <w:rPr>
                <w:rFonts w:eastAsia="Times New Roman" w:cs="Times New Roman"/>
                <w:bCs/>
                <w:iCs/>
                <w:szCs w:val="24"/>
                <w:lang w:eastAsia="lv-LV"/>
              </w:rPr>
              <w:t>2015.</w:t>
            </w:r>
            <w:r w:rsidR="00900E3A">
              <w:rPr>
                <w:rFonts w:eastAsia="Times New Roman" w:cs="Times New Roman"/>
                <w:bCs/>
                <w:iCs/>
                <w:szCs w:val="24"/>
                <w:lang w:eastAsia="lv-LV"/>
              </w:rPr>
              <w:t> </w:t>
            </w:r>
            <w:r w:rsidRPr="00502E43">
              <w:rPr>
                <w:rFonts w:eastAsia="Times New Roman" w:cs="Times New Roman"/>
                <w:bCs/>
                <w:iCs/>
                <w:szCs w:val="24"/>
                <w:lang w:eastAsia="lv-LV"/>
              </w:rPr>
              <w:t>gada 17.</w:t>
            </w:r>
            <w:r w:rsidR="00900E3A">
              <w:rPr>
                <w:rFonts w:eastAsia="Times New Roman" w:cs="Times New Roman"/>
                <w:bCs/>
                <w:iCs/>
                <w:szCs w:val="24"/>
                <w:lang w:eastAsia="lv-LV"/>
              </w:rPr>
              <w:t> </w:t>
            </w:r>
            <w:r w:rsidRPr="00502E43">
              <w:rPr>
                <w:rFonts w:eastAsia="Times New Roman" w:cs="Times New Roman"/>
                <w:bCs/>
                <w:iCs/>
                <w:szCs w:val="24"/>
                <w:lang w:eastAsia="lv-LV"/>
              </w:rPr>
              <w:t>jūnija rezo</w:t>
            </w:r>
            <w:r w:rsidR="004F3510">
              <w:rPr>
                <w:rFonts w:eastAsia="Times New Roman" w:cs="Times New Roman"/>
                <w:bCs/>
                <w:iCs/>
                <w:szCs w:val="24"/>
                <w:lang w:eastAsia="lv-LV"/>
              </w:rPr>
              <w:t>lūcijā</w:t>
            </w:r>
            <w:r>
              <w:rPr>
                <w:rFonts w:eastAsia="Times New Roman" w:cs="Times New Roman"/>
                <w:bCs/>
                <w:iCs/>
                <w:szCs w:val="24"/>
                <w:lang w:eastAsia="lv-LV"/>
              </w:rPr>
              <w:t xml:space="preserve"> Nr.</w:t>
            </w:r>
            <w:r w:rsidR="00900E3A">
              <w:rPr>
                <w:rFonts w:eastAsia="Times New Roman" w:cs="Times New Roman"/>
                <w:bCs/>
                <w:iCs/>
                <w:szCs w:val="24"/>
                <w:lang w:eastAsia="lv-LV"/>
              </w:rPr>
              <w:t> </w:t>
            </w:r>
            <w:r>
              <w:rPr>
                <w:rFonts w:eastAsia="Times New Roman" w:cs="Times New Roman"/>
                <w:bCs/>
                <w:iCs/>
                <w:szCs w:val="24"/>
                <w:lang w:eastAsia="lv-LV"/>
              </w:rPr>
              <w:t xml:space="preserve">1.1.1/59 (turpmāk </w:t>
            </w:r>
            <w:r w:rsidR="00900E3A">
              <w:rPr>
                <w:rFonts w:eastAsia="Times New Roman" w:cs="Times New Roman"/>
                <w:bCs/>
                <w:iCs/>
                <w:szCs w:val="24"/>
                <w:lang w:eastAsia="lv-LV"/>
              </w:rPr>
              <w:t>–</w:t>
            </w:r>
            <w:r>
              <w:rPr>
                <w:rFonts w:eastAsia="Times New Roman" w:cs="Times New Roman"/>
                <w:bCs/>
                <w:iCs/>
                <w:szCs w:val="24"/>
                <w:lang w:eastAsia="lv-LV"/>
              </w:rPr>
              <w:t xml:space="preserve"> </w:t>
            </w:r>
            <w:r w:rsidR="00662132">
              <w:rPr>
                <w:rFonts w:eastAsia="Times New Roman" w:cs="Times New Roman"/>
                <w:bCs/>
                <w:iCs/>
                <w:szCs w:val="24"/>
                <w:lang w:eastAsia="lv-LV"/>
              </w:rPr>
              <w:t>r</w:t>
            </w:r>
            <w:r>
              <w:rPr>
                <w:rFonts w:eastAsia="Times New Roman" w:cs="Times New Roman"/>
                <w:bCs/>
                <w:iCs/>
                <w:szCs w:val="24"/>
                <w:lang w:eastAsia="lv-LV"/>
              </w:rPr>
              <w:t>ezolūcija)</w:t>
            </w:r>
            <w:r w:rsidR="004F3510">
              <w:rPr>
                <w:rFonts w:eastAsia="Times New Roman" w:cs="Times New Roman"/>
                <w:bCs/>
                <w:iCs/>
                <w:szCs w:val="24"/>
                <w:lang w:eastAsia="lv-LV"/>
              </w:rPr>
              <w:t xml:space="preserve"> doto uzdevumu</w:t>
            </w:r>
            <w:r>
              <w:rPr>
                <w:rFonts w:eastAsia="Times New Roman" w:cs="Times New Roman"/>
                <w:bCs/>
                <w:iCs/>
                <w:szCs w:val="24"/>
                <w:lang w:eastAsia="lv-LV"/>
              </w:rPr>
              <w:t xml:space="preserve"> un Valsts kancelejas iniciatīvu</w:t>
            </w:r>
          </w:p>
        </w:tc>
      </w:tr>
      <w:tr w:rsidR="00EA5E16" w:rsidRPr="00520485" w14:paraId="2D29CF67" w14:textId="77777777" w:rsidTr="00AA3252">
        <w:tc>
          <w:tcPr>
            <w:tcW w:w="426" w:type="dxa"/>
          </w:tcPr>
          <w:p w14:paraId="2D29CF34" w14:textId="77777777" w:rsidR="00EA5E16" w:rsidRPr="00520485" w:rsidRDefault="00EA5E16" w:rsidP="00AA3252">
            <w:pPr>
              <w:pStyle w:val="naisnod"/>
              <w:spacing w:before="0" w:after="0"/>
              <w:ind w:left="34" w:right="-8"/>
              <w:jc w:val="both"/>
            </w:pPr>
            <w:r w:rsidRPr="00520485">
              <w:t>2.</w:t>
            </w:r>
          </w:p>
        </w:tc>
        <w:tc>
          <w:tcPr>
            <w:tcW w:w="2835" w:type="dxa"/>
          </w:tcPr>
          <w:p w14:paraId="2D29CF35" w14:textId="77777777" w:rsidR="00EA5E16" w:rsidRPr="00520485" w:rsidRDefault="002E5954" w:rsidP="00EA5E16">
            <w:pPr>
              <w:rPr>
                <w:rFonts w:eastAsia="Times New Roman" w:cs="Times New Roman"/>
                <w:szCs w:val="24"/>
                <w:lang w:eastAsia="lv-LV"/>
              </w:rPr>
            </w:pPr>
            <w:r w:rsidRPr="002E5954">
              <w:rPr>
                <w:rFonts w:eastAsia="Times New Roman" w:cs="Times New Roman"/>
                <w:szCs w:val="24"/>
                <w:lang w:eastAsia="lv-LV"/>
              </w:rPr>
              <w:t>Pašreizējā situācija un problēmas, kuru risināšanai tiesību akta projekts izstrādāts, tiesiskā regulējuma mērķis un būtība</w:t>
            </w:r>
          </w:p>
        </w:tc>
        <w:tc>
          <w:tcPr>
            <w:tcW w:w="5918" w:type="dxa"/>
          </w:tcPr>
          <w:p w14:paraId="2D29CF36" w14:textId="5FC65E8C" w:rsidR="00517268" w:rsidRPr="008C33B4" w:rsidRDefault="00796A20" w:rsidP="00517268">
            <w:pPr>
              <w:tabs>
                <w:tab w:val="left" w:pos="459"/>
              </w:tabs>
              <w:jc w:val="both"/>
              <w:rPr>
                <w:rFonts w:eastAsia="Times New Roman" w:cs="Times New Roman"/>
                <w:bCs/>
                <w:iCs/>
                <w:szCs w:val="24"/>
                <w:lang w:eastAsia="lv-LV"/>
              </w:rPr>
            </w:pPr>
            <w:r>
              <w:rPr>
                <w:rFonts w:eastAsia="Times New Roman" w:cs="Times New Roman"/>
                <w:bCs/>
                <w:iCs/>
                <w:szCs w:val="24"/>
                <w:lang w:eastAsia="lv-LV"/>
              </w:rPr>
              <w:t xml:space="preserve">Pašreiz ir spēkā </w:t>
            </w:r>
            <w:r w:rsidRPr="008C33B4">
              <w:rPr>
                <w:rFonts w:eastAsia="Times New Roman" w:cs="Times New Roman"/>
                <w:bCs/>
                <w:iCs/>
                <w:szCs w:val="24"/>
                <w:lang w:eastAsia="lv-LV"/>
              </w:rPr>
              <w:t>Ministru kabineta 2013.</w:t>
            </w:r>
            <w:r>
              <w:rPr>
                <w:rFonts w:eastAsia="Times New Roman" w:cs="Times New Roman"/>
                <w:bCs/>
                <w:iCs/>
                <w:szCs w:val="24"/>
                <w:lang w:eastAsia="lv-LV"/>
              </w:rPr>
              <w:t> </w:t>
            </w:r>
            <w:r w:rsidRPr="008C33B4">
              <w:rPr>
                <w:rFonts w:eastAsia="Times New Roman" w:cs="Times New Roman"/>
                <w:bCs/>
                <w:iCs/>
                <w:szCs w:val="24"/>
                <w:lang w:eastAsia="lv-LV"/>
              </w:rPr>
              <w:t>gada 2.</w:t>
            </w:r>
            <w:r>
              <w:rPr>
                <w:rFonts w:eastAsia="Times New Roman" w:cs="Times New Roman"/>
                <w:bCs/>
                <w:iCs/>
                <w:szCs w:val="24"/>
                <w:lang w:eastAsia="lv-LV"/>
              </w:rPr>
              <w:t> jūlija instrukcija</w:t>
            </w:r>
            <w:r w:rsidRPr="008C33B4">
              <w:rPr>
                <w:rFonts w:eastAsia="Times New Roman" w:cs="Times New Roman"/>
                <w:bCs/>
                <w:iCs/>
                <w:szCs w:val="24"/>
                <w:lang w:eastAsia="lv-LV"/>
              </w:rPr>
              <w:t xml:space="preserve"> Nr.</w:t>
            </w:r>
            <w:r>
              <w:rPr>
                <w:rFonts w:eastAsia="Times New Roman" w:cs="Times New Roman"/>
                <w:bCs/>
                <w:iCs/>
                <w:szCs w:val="24"/>
                <w:lang w:eastAsia="lv-LV"/>
              </w:rPr>
              <w:t> </w:t>
            </w:r>
            <w:r w:rsidRPr="008C33B4">
              <w:rPr>
                <w:rFonts w:eastAsia="Times New Roman" w:cs="Times New Roman"/>
                <w:bCs/>
                <w:iCs/>
                <w:szCs w:val="24"/>
                <w:lang w:eastAsia="lv-LV"/>
              </w:rPr>
              <w:t xml:space="preserve">7 </w:t>
            </w:r>
            <w:r w:rsidR="00CD169F">
              <w:rPr>
                <w:rFonts w:eastAsia="Times New Roman" w:cs="Times New Roman"/>
                <w:bCs/>
                <w:iCs/>
                <w:szCs w:val="24"/>
                <w:lang w:eastAsia="lv-LV"/>
              </w:rPr>
              <w:t>"</w:t>
            </w:r>
            <w:r w:rsidRPr="008C33B4">
              <w:rPr>
                <w:rFonts w:eastAsia="Times New Roman" w:cs="Times New Roman"/>
                <w:bCs/>
                <w:iCs/>
                <w:szCs w:val="24"/>
                <w:lang w:eastAsia="lv-LV"/>
              </w:rPr>
              <w:t>Ārvalstu finanšu instrumentu finansētu civiltiesisku līgumu izstrādes un slēgšanas instrukcija valsts tiešās pārvaldes iestādēs</w:t>
            </w:r>
            <w:r w:rsidR="00CD169F">
              <w:rPr>
                <w:rFonts w:eastAsia="Times New Roman" w:cs="Times New Roman"/>
                <w:bCs/>
                <w:iCs/>
                <w:szCs w:val="24"/>
                <w:lang w:eastAsia="lv-LV"/>
              </w:rPr>
              <w:t>"</w:t>
            </w:r>
            <w:r>
              <w:rPr>
                <w:rFonts w:eastAsia="Times New Roman" w:cs="Times New Roman"/>
                <w:bCs/>
                <w:iCs/>
                <w:szCs w:val="24"/>
                <w:lang w:eastAsia="lv-LV"/>
              </w:rPr>
              <w:t xml:space="preserve"> (turpmāk – instrukcija). Lai iespējami samazinātu administratīvo slogu</w:t>
            </w:r>
            <w:r w:rsidR="00662132">
              <w:rPr>
                <w:rFonts w:eastAsia="Times New Roman" w:cs="Times New Roman"/>
                <w:bCs/>
                <w:iCs/>
                <w:szCs w:val="24"/>
                <w:lang w:eastAsia="lv-LV"/>
              </w:rPr>
              <w:t>,</w:t>
            </w:r>
            <w:r>
              <w:rPr>
                <w:rFonts w:eastAsia="Times New Roman" w:cs="Times New Roman"/>
                <w:bCs/>
                <w:iCs/>
                <w:szCs w:val="24"/>
                <w:lang w:eastAsia="lv-LV"/>
              </w:rPr>
              <w:t xml:space="preserve"> 2014</w:t>
            </w:r>
            <w:r w:rsidR="00CD169F">
              <w:rPr>
                <w:rFonts w:eastAsia="Times New Roman" w:cs="Times New Roman"/>
                <w:bCs/>
                <w:iCs/>
                <w:szCs w:val="24"/>
                <w:lang w:eastAsia="lv-LV"/>
              </w:rPr>
              <w:t>. g</w:t>
            </w:r>
            <w:r>
              <w:rPr>
                <w:rFonts w:eastAsia="Times New Roman" w:cs="Times New Roman"/>
                <w:bCs/>
                <w:iCs/>
                <w:szCs w:val="24"/>
                <w:lang w:eastAsia="lv-LV"/>
              </w:rPr>
              <w:t>ada 2</w:t>
            </w:r>
            <w:r w:rsidR="00CD169F">
              <w:rPr>
                <w:rFonts w:eastAsia="Times New Roman" w:cs="Times New Roman"/>
                <w:bCs/>
                <w:iCs/>
                <w:szCs w:val="24"/>
                <w:lang w:eastAsia="lv-LV"/>
              </w:rPr>
              <w:t>. d</w:t>
            </w:r>
            <w:r>
              <w:rPr>
                <w:rFonts w:eastAsia="Times New Roman" w:cs="Times New Roman"/>
                <w:bCs/>
                <w:iCs/>
                <w:szCs w:val="24"/>
                <w:lang w:eastAsia="lv-LV"/>
              </w:rPr>
              <w:t>ecembrī tika apstiprināti instrukcijas grozījumi. Būtiskākie grozījumi – palielināts līgumcenas slieksnis atsevišķu instrukcijas punktu piemērošanai, atviegloti nosacījumi, ja līgumu slēdz ar starptautiskā</w:t>
            </w:r>
            <w:r w:rsidR="00662132">
              <w:rPr>
                <w:rFonts w:eastAsia="Times New Roman" w:cs="Times New Roman"/>
                <w:bCs/>
                <w:iCs/>
                <w:szCs w:val="24"/>
                <w:lang w:eastAsia="lv-LV"/>
              </w:rPr>
              <w:t>m</w:t>
            </w:r>
            <w:r>
              <w:rPr>
                <w:rFonts w:eastAsia="Times New Roman" w:cs="Times New Roman"/>
                <w:bCs/>
                <w:iCs/>
                <w:szCs w:val="24"/>
                <w:lang w:eastAsia="lv-LV"/>
              </w:rPr>
              <w:t xml:space="preserve"> organizācijām, kā arī avansa izmaksāšanas nosacījumi, novērstas pretrunas saistībā ar piegādātāja tiesiskās aizsardzības </w:t>
            </w:r>
            <w:r w:rsidR="00F27E20">
              <w:rPr>
                <w:rFonts w:eastAsia="Times New Roman" w:cs="Times New Roman"/>
                <w:bCs/>
                <w:iCs/>
                <w:szCs w:val="24"/>
                <w:lang w:eastAsia="lv-LV"/>
              </w:rPr>
              <w:t>procesa uzsākšanu, svītrota prasība pasūtītājam līgumā paredzēt tiesības apturēt līguma izpildi uz ārvalstu finanšu instrumenta vadībā iesaistītās pārbaudes laiku u.</w:t>
            </w:r>
            <w:r w:rsidR="00B72C25">
              <w:rPr>
                <w:rFonts w:eastAsia="Times New Roman" w:cs="Times New Roman"/>
                <w:bCs/>
                <w:iCs/>
                <w:szCs w:val="24"/>
                <w:lang w:eastAsia="lv-LV"/>
              </w:rPr>
              <w:t xml:space="preserve"> </w:t>
            </w:r>
            <w:r w:rsidR="00F27E20">
              <w:rPr>
                <w:rFonts w:eastAsia="Times New Roman" w:cs="Times New Roman"/>
                <w:bCs/>
                <w:iCs/>
                <w:szCs w:val="24"/>
                <w:lang w:eastAsia="lv-LV"/>
              </w:rPr>
              <w:t>c. Tomēr</w:t>
            </w:r>
            <w:r w:rsidR="00B72C25">
              <w:rPr>
                <w:rFonts w:eastAsia="Times New Roman" w:cs="Times New Roman"/>
                <w:bCs/>
                <w:iCs/>
                <w:szCs w:val="24"/>
                <w:lang w:eastAsia="lv-LV"/>
              </w:rPr>
              <w:t>,</w:t>
            </w:r>
            <w:r w:rsidR="00F27E20">
              <w:rPr>
                <w:rFonts w:eastAsia="Times New Roman" w:cs="Times New Roman"/>
                <w:bCs/>
                <w:iCs/>
                <w:szCs w:val="24"/>
                <w:lang w:eastAsia="lv-LV"/>
              </w:rPr>
              <w:t xml:space="preserve"> kā liecina instrukcijas piemērotāju – tiešās valsts pārvaldes iestāžu un piegādātāju – komersantu un nevalstisko organizāciju prakse, tad ar to nav bijis pietiekami</w:t>
            </w:r>
            <w:r w:rsidR="00B72C25">
              <w:rPr>
                <w:rFonts w:eastAsia="Times New Roman" w:cs="Times New Roman"/>
                <w:bCs/>
                <w:iCs/>
                <w:szCs w:val="24"/>
                <w:lang w:eastAsia="lv-LV"/>
              </w:rPr>
              <w:t>,</w:t>
            </w:r>
            <w:r w:rsidR="00F27E20">
              <w:rPr>
                <w:rFonts w:eastAsia="Times New Roman" w:cs="Times New Roman"/>
                <w:bCs/>
                <w:iCs/>
                <w:szCs w:val="24"/>
                <w:lang w:eastAsia="lv-LV"/>
              </w:rPr>
              <w:t xml:space="preserve"> un instrukcija joprojām uztverama kā smagnēja, ar augstu administratīvo prasību slogu, kā arī nevienlīdzīgu pasūtītāja un piegādātāja tiesību balansu</w:t>
            </w:r>
            <w:r w:rsidR="00B72C25">
              <w:rPr>
                <w:rFonts w:eastAsia="Times New Roman" w:cs="Times New Roman"/>
                <w:bCs/>
                <w:iCs/>
                <w:szCs w:val="24"/>
                <w:lang w:eastAsia="lv-LV"/>
              </w:rPr>
              <w:t>,</w:t>
            </w:r>
            <w:r w:rsidR="008C64D6">
              <w:rPr>
                <w:rFonts w:eastAsia="Times New Roman" w:cs="Times New Roman"/>
                <w:bCs/>
                <w:iCs/>
                <w:szCs w:val="24"/>
                <w:lang w:eastAsia="lv-LV"/>
              </w:rPr>
              <w:t xml:space="preserve"> uz ko uzmanību vērsušas abas līguma slēdzēju puses</w:t>
            </w:r>
            <w:r w:rsidR="00F27E20">
              <w:rPr>
                <w:rFonts w:eastAsia="Times New Roman" w:cs="Times New Roman"/>
                <w:bCs/>
                <w:iCs/>
                <w:szCs w:val="24"/>
                <w:lang w:eastAsia="lv-LV"/>
              </w:rPr>
              <w:t xml:space="preserve">. Tāpat arī ievērojami apgrūtinošs ir instrukcijas regulējuma tvērums </w:t>
            </w:r>
            <w:r w:rsidR="008C64D6">
              <w:rPr>
                <w:rFonts w:eastAsia="Times New Roman" w:cs="Times New Roman"/>
                <w:bCs/>
                <w:iCs/>
                <w:szCs w:val="24"/>
                <w:lang w:eastAsia="lv-LV"/>
              </w:rPr>
              <w:t xml:space="preserve">un piemērošana, </w:t>
            </w:r>
            <w:r w:rsidR="00F27E20">
              <w:rPr>
                <w:rFonts w:eastAsia="Times New Roman" w:cs="Times New Roman"/>
                <w:bCs/>
                <w:iCs/>
                <w:szCs w:val="24"/>
                <w:lang w:eastAsia="lv-LV"/>
              </w:rPr>
              <w:t>īpaši attiecībā</w:t>
            </w:r>
            <w:r w:rsidR="008C64D6">
              <w:rPr>
                <w:rFonts w:eastAsia="Times New Roman" w:cs="Times New Roman"/>
                <w:bCs/>
                <w:iCs/>
                <w:szCs w:val="24"/>
                <w:lang w:eastAsia="lv-LV"/>
              </w:rPr>
              <w:t xml:space="preserve"> uz maza apjoma līgumiem, jo saskaņā ar spēkā esošo instrukcijas regulējumu visas prasības, piemēram, </w:t>
            </w:r>
            <w:r w:rsidR="007520ED">
              <w:rPr>
                <w:rFonts w:eastAsia="Times New Roman" w:cs="Times New Roman"/>
                <w:bCs/>
                <w:iCs/>
                <w:szCs w:val="24"/>
                <w:lang w:eastAsia="lv-LV"/>
              </w:rPr>
              <w:t xml:space="preserve">saistībā ar </w:t>
            </w:r>
            <w:r w:rsidR="008C64D6">
              <w:rPr>
                <w:rFonts w:eastAsia="Times New Roman" w:cs="Times New Roman"/>
                <w:bCs/>
                <w:iCs/>
                <w:szCs w:val="24"/>
                <w:lang w:eastAsia="lv-LV"/>
              </w:rPr>
              <w:t>līguma izbeigšanu un līguma izpildes apturēšanu</w:t>
            </w:r>
            <w:r w:rsidR="00B72C25">
              <w:rPr>
                <w:rFonts w:eastAsia="Times New Roman" w:cs="Times New Roman"/>
                <w:bCs/>
                <w:iCs/>
                <w:szCs w:val="24"/>
                <w:lang w:eastAsia="lv-LV"/>
              </w:rPr>
              <w:t>,</w:t>
            </w:r>
            <w:r w:rsidR="008C64D6">
              <w:rPr>
                <w:rFonts w:eastAsia="Times New Roman" w:cs="Times New Roman"/>
                <w:bCs/>
                <w:iCs/>
                <w:szCs w:val="24"/>
                <w:lang w:eastAsia="lv-LV"/>
              </w:rPr>
              <w:t xml:space="preserve"> ir jāiekļauj arī līgumos par 100 </w:t>
            </w:r>
            <w:proofErr w:type="spellStart"/>
            <w:r w:rsidR="00B72C25" w:rsidRPr="00B72C25">
              <w:rPr>
                <w:rFonts w:eastAsia="Times New Roman" w:cs="Times New Roman"/>
                <w:bCs/>
                <w:i/>
                <w:iCs/>
                <w:szCs w:val="24"/>
                <w:lang w:eastAsia="lv-LV"/>
              </w:rPr>
              <w:t>euro</w:t>
            </w:r>
            <w:proofErr w:type="spellEnd"/>
            <w:r w:rsidR="008C64D6">
              <w:rPr>
                <w:rFonts w:eastAsia="Times New Roman" w:cs="Times New Roman"/>
                <w:bCs/>
                <w:iCs/>
                <w:szCs w:val="24"/>
                <w:lang w:eastAsia="lv-LV"/>
              </w:rPr>
              <w:t xml:space="preserve"> gadā, </w:t>
            </w:r>
            <w:r w:rsidR="00B72C25">
              <w:rPr>
                <w:rFonts w:eastAsia="Times New Roman" w:cs="Times New Roman"/>
                <w:bCs/>
                <w:iCs/>
                <w:szCs w:val="24"/>
                <w:lang w:eastAsia="lv-LV"/>
              </w:rPr>
              <w:t>tādējādi</w:t>
            </w:r>
            <w:r w:rsidR="008C64D6">
              <w:rPr>
                <w:rFonts w:eastAsia="Times New Roman" w:cs="Times New Roman"/>
                <w:bCs/>
                <w:iCs/>
                <w:szCs w:val="24"/>
                <w:lang w:eastAsia="lv-LV"/>
              </w:rPr>
              <w:t xml:space="preserve"> piegādātājs sadārdzina līguma cenu, ierēķinot tajā arī līguma neplānotas izbeigšanas vai apturēšanas riskus, kaut arī to iestāšanās varbūtība ir minimāla. Mākslīgi sad</w:t>
            </w:r>
            <w:r w:rsidR="00C12B3C">
              <w:rPr>
                <w:rFonts w:eastAsia="Times New Roman" w:cs="Times New Roman"/>
                <w:bCs/>
                <w:iCs/>
                <w:szCs w:val="24"/>
                <w:lang w:eastAsia="lv-LV"/>
              </w:rPr>
              <w:t>ārdzināti līgumi uzliek papildu</w:t>
            </w:r>
            <w:r w:rsidR="008C64D6">
              <w:rPr>
                <w:rFonts w:eastAsia="Times New Roman" w:cs="Times New Roman"/>
                <w:bCs/>
                <w:iCs/>
                <w:szCs w:val="24"/>
                <w:lang w:eastAsia="lv-LV"/>
              </w:rPr>
              <w:t xml:space="preserve"> slogu publiskajiem resursiem, bet pasūtītāja un piegādātāja tiesību nevienlīdzība</w:t>
            </w:r>
            <w:r w:rsidR="005203EA">
              <w:rPr>
                <w:rFonts w:eastAsia="Times New Roman" w:cs="Times New Roman"/>
                <w:bCs/>
                <w:iCs/>
                <w:szCs w:val="24"/>
                <w:lang w:eastAsia="lv-LV"/>
              </w:rPr>
              <w:t xml:space="preserve"> līgumu ietvaros</w:t>
            </w:r>
            <w:r w:rsidR="008C64D6">
              <w:rPr>
                <w:rFonts w:eastAsia="Times New Roman" w:cs="Times New Roman"/>
                <w:bCs/>
                <w:iCs/>
                <w:szCs w:val="24"/>
                <w:lang w:eastAsia="lv-LV"/>
              </w:rPr>
              <w:t xml:space="preserve"> neļauj līguma slēdzēju pusēm nonākt pie sekmīgas </w:t>
            </w:r>
            <w:r w:rsidR="005203EA">
              <w:rPr>
                <w:rFonts w:eastAsia="Times New Roman" w:cs="Times New Roman"/>
                <w:bCs/>
                <w:iCs/>
                <w:szCs w:val="24"/>
                <w:lang w:eastAsia="lv-LV"/>
              </w:rPr>
              <w:t>vienošanās par preču piegādes vai pakalpojumu sniegšanas noteikumiem, kas nav bijis instrukcijas mērķis.</w:t>
            </w:r>
            <w:r w:rsidR="00F27E20">
              <w:rPr>
                <w:rFonts w:eastAsia="Times New Roman" w:cs="Times New Roman"/>
                <w:bCs/>
                <w:iCs/>
                <w:szCs w:val="24"/>
                <w:lang w:eastAsia="lv-LV"/>
              </w:rPr>
              <w:t xml:space="preserve"> </w:t>
            </w:r>
            <w:r w:rsidR="005203EA">
              <w:rPr>
                <w:rFonts w:eastAsia="Times New Roman" w:cs="Times New Roman"/>
                <w:bCs/>
                <w:iCs/>
                <w:szCs w:val="24"/>
                <w:lang w:eastAsia="lv-LV"/>
              </w:rPr>
              <w:t>Ņemot vērā iepriekš minēto, kā arī Finanšu ministrijas un nevalstisko organizāciju ierosinājumus, Ministru prezidente</w:t>
            </w:r>
            <w:r w:rsidR="005203EA" w:rsidRPr="00502E43">
              <w:rPr>
                <w:rFonts w:eastAsia="Times New Roman" w:cs="Times New Roman"/>
                <w:bCs/>
                <w:iCs/>
                <w:szCs w:val="24"/>
                <w:lang w:eastAsia="lv-LV"/>
              </w:rPr>
              <w:t xml:space="preserve"> </w:t>
            </w:r>
            <w:r w:rsidR="005203EA">
              <w:rPr>
                <w:rFonts w:eastAsia="Times New Roman" w:cs="Times New Roman"/>
                <w:bCs/>
                <w:iCs/>
                <w:szCs w:val="24"/>
                <w:lang w:eastAsia="lv-LV"/>
              </w:rPr>
              <w:t xml:space="preserve">L. Straujuma </w:t>
            </w:r>
            <w:r w:rsidR="005203EA" w:rsidRPr="00502E43">
              <w:rPr>
                <w:rFonts w:eastAsia="Times New Roman" w:cs="Times New Roman"/>
                <w:bCs/>
                <w:iCs/>
                <w:szCs w:val="24"/>
                <w:lang w:eastAsia="lv-LV"/>
              </w:rPr>
              <w:t>2015.</w:t>
            </w:r>
            <w:r w:rsidR="005203EA">
              <w:rPr>
                <w:rFonts w:eastAsia="Times New Roman" w:cs="Times New Roman"/>
                <w:bCs/>
                <w:iCs/>
                <w:szCs w:val="24"/>
                <w:lang w:eastAsia="lv-LV"/>
              </w:rPr>
              <w:t> </w:t>
            </w:r>
            <w:r w:rsidR="005203EA" w:rsidRPr="00502E43">
              <w:rPr>
                <w:rFonts w:eastAsia="Times New Roman" w:cs="Times New Roman"/>
                <w:bCs/>
                <w:iCs/>
                <w:szCs w:val="24"/>
                <w:lang w:eastAsia="lv-LV"/>
              </w:rPr>
              <w:t>gada 17.</w:t>
            </w:r>
            <w:r w:rsidR="005203EA">
              <w:rPr>
                <w:rFonts w:eastAsia="Times New Roman" w:cs="Times New Roman"/>
                <w:bCs/>
                <w:iCs/>
                <w:szCs w:val="24"/>
                <w:lang w:eastAsia="lv-LV"/>
              </w:rPr>
              <w:t> </w:t>
            </w:r>
            <w:r w:rsidR="00C12B3C">
              <w:rPr>
                <w:rFonts w:eastAsia="Times New Roman" w:cs="Times New Roman"/>
                <w:bCs/>
                <w:iCs/>
                <w:szCs w:val="24"/>
                <w:lang w:eastAsia="lv-LV"/>
              </w:rPr>
              <w:t>j</w:t>
            </w:r>
            <w:r w:rsidR="005203EA">
              <w:rPr>
                <w:rFonts w:eastAsia="Times New Roman" w:cs="Times New Roman"/>
                <w:bCs/>
                <w:iCs/>
                <w:szCs w:val="24"/>
                <w:lang w:eastAsia="lv-LV"/>
              </w:rPr>
              <w:t>ūnijā izdeva</w:t>
            </w:r>
            <w:r w:rsidR="005203EA" w:rsidRPr="00502E43">
              <w:rPr>
                <w:rFonts w:eastAsia="Times New Roman" w:cs="Times New Roman"/>
                <w:bCs/>
                <w:iCs/>
                <w:szCs w:val="24"/>
                <w:lang w:eastAsia="lv-LV"/>
              </w:rPr>
              <w:t xml:space="preserve"> rezo</w:t>
            </w:r>
            <w:r w:rsidR="005203EA">
              <w:rPr>
                <w:rFonts w:eastAsia="Times New Roman" w:cs="Times New Roman"/>
                <w:bCs/>
                <w:iCs/>
                <w:szCs w:val="24"/>
                <w:lang w:eastAsia="lv-LV"/>
              </w:rPr>
              <w:t xml:space="preserve">lūciju </w:t>
            </w:r>
            <w:r w:rsidR="005203EA">
              <w:rPr>
                <w:rFonts w:eastAsia="Times New Roman" w:cs="Times New Roman"/>
                <w:bCs/>
                <w:iCs/>
                <w:szCs w:val="24"/>
                <w:lang w:eastAsia="lv-LV"/>
              </w:rPr>
              <w:lastRenderedPageBreak/>
              <w:t>Nr. 1.1.1/59 ar kuru</w:t>
            </w:r>
            <w:r w:rsidR="00517268">
              <w:rPr>
                <w:rFonts w:eastAsia="Times New Roman" w:cs="Times New Roman"/>
                <w:bCs/>
                <w:iCs/>
                <w:szCs w:val="24"/>
                <w:lang w:eastAsia="lv-LV"/>
              </w:rPr>
              <w:t xml:space="preserve"> Valsts kancelejai </w:t>
            </w:r>
            <w:r w:rsidR="001E0F65">
              <w:rPr>
                <w:rFonts w:eastAsia="Times New Roman" w:cs="Times New Roman"/>
                <w:bCs/>
                <w:iCs/>
                <w:szCs w:val="24"/>
                <w:lang w:eastAsia="lv-LV"/>
              </w:rPr>
              <w:t xml:space="preserve">tika </w:t>
            </w:r>
            <w:r w:rsidR="00517268">
              <w:rPr>
                <w:rFonts w:eastAsia="Times New Roman" w:cs="Times New Roman"/>
                <w:bCs/>
                <w:iCs/>
                <w:szCs w:val="24"/>
                <w:lang w:eastAsia="lv-LV"/>
              </w:rPr>
              <w:t xml:space="preserve">uzdots </w:t>
            </w:r>
            <w:r w:rsidR="00517268" w:rsidRPr="008C33B4">
              <w:rPr>
                <w:rFonts w:eastAsia="Times New Roman" w:cs="Times New Roman"/>
                <w:bCs/>
                <w:iCs/>
                <w:szCs w:val="24"/>
                <w:lang w:eastAsia="lv-LV"/>
              </w:rPr>
              <w:t xml:space="preserve">izvērtēt: </w:t>
            </w:r>
          </w:p>
          <w:p w14:paraId="2D29CF37" w14:textId="503DC89B" w:rsidR="00517268" w:rsidRPr="008C33B4" w:rsidRDefault="00517268" w:rsidP="00517268">
            <w:pPr>
              <w:tabs>
                <w:tab w:val="left" w:pos="459"/>
              </w:tabs>
              <w:jc w:val="both"/>
              <w:rPr>
                <w:rFonts w:eastAsia="Times New Roman" w:cs="Times New Roman"/>
                <w:bCs/>
                <w:iCs/>
                <w:szCs w:val="24"/>
                <w:lang w:eastAsia="lv-LV"/>
              </w:rPr>
            </w:pPr>
            <w:r w:rsidRPr="008C33B4">
              <w:rPr>
                <w:rFonts w:eastAsia="Times New Roman" w:cs="Times New Roman"/>
                <w:bCs/>
                <w:iCs/>
                <w:szCs w:val="24"/>
                <w:lang w:eastAsia="lv-LV"/>
              </w:rPr>
              <w:t>1.</w:t>
            </w:r>
            <w:r w:rsidRPr="008C33B4">
              <w:rPr>
                <w:rFonts w:eastAsia="Times New Roman" w:cs="Times New Roman"/>
                <w:bCs/>
                <w:iCs/>
                <w:szCs w:val="24"/>
                <w:lang w:eastAsia="lv-LV"/>
              </w:rPr>
              <w:tab/>
            </w:r>
            <w:r w:rsidR="00C12B3C">
              <w:rPr>
                <w:rFonts w:eastAsia="Times New Roman" w:cs="Times New Roman"/>
                <w:bCs/>
                <w:iCs/>
                <w:szCs w:val="24"/>
                <w:lang w:eastAsia="lv-LV"/>
              </w:rPr>
              <w:t>V</w:t>
            </w:r>
            <w:r w:rsidRPr="008C33B4">
              <w:rPr>
                <w:rFonts w:eastAsia="Times New Roman" w:cs="Times New Roman"/>
                <w:bCs/>
                <w:iCs/>
                <w:szCs w:val="24"/>
                <w:lang w:eastAsia="lv-LV"/>
              </w:rPr>
              <w:t xml:space="preserve">ai ar </w:t>
            </w:r>
            <w:r w:rsidR="00416C0E" w:rsidRPr="008C33B4">
              <w:rPr>
                <w:rFonts w:eastAsia="Times New Roman" w:cs="Times New Roman"/>
                <w:bCs/>
                <w:iCs/>
                <w:szCs w:val="24"/>
                <w:lang w:eastAsia="lv-LV"/>
              </w:rPr>
              <w:t>Ministru kabineta 2013.</w:t>
            </w:r>
            <w:r w:rsidR="00416C0E">
              <w:rPr>
                <w:rFonts w:eastAsia="Times New Roman" w:cs="Times New Roman"/>
                <w:bCs/>
                <w:iCs/>
                <w:szCs w:val="24"/>
                <w:lang w:eastAsia="lv-LV"/>
              </w:rPr>
              <w:t> </w:t>
            </w:r>
            <w:r w:rsidR="00416C0E" w:rsidRPr="008C33B4">
              <w:rPr>
                <w:rFonts w:eastAsia="Times New Roman" w:cs="Times New Roman"/>
                <w:bCs/>
                <w:iCs/>
                <w:szCs w:val="24"/>
                <w:lang w:eastAsia="lv-LV"/>
              </w:rPr>
              <w:t>gada 2.</w:t>
            </w:r>
            <w:r w:rsidR="00416C0E">
              <w:rPr>
                <w:rFonts w:eastAsia="Times New Roman" w:cs="Times New Roman"/>
                <w:bCs/>
                <w:iCs/>
                <w:szCs w:val="24"/>
                <w:lang w:eastAsia="lv-LV"/>
              </w:rPr>
              <w:t> </w:t>
            </w:r>
            <w:r w:rsidR="00416C0E" w:rsidRPr="008C33B4">
              <w:rPr>
                <w:rFonts w:eastAsia="Times New Roman" w:cs="Times New Roman"/>
                <w:bCs/>
                <w:iCs/>
                <w:szCs w:val="24"/>
                <w:lang w:eastAsia="lv-LV"/>
              </w:rPr>
              <w:t>jūlija instrukciju Nr.</w:t>
            </w:r>
            <w:r w:rsidR="00416C0E">
              <w:rPr>
                <w:rFonts w:eastAsia="Times New Roman" w:cs="Times New Roman"/>
                <w:bCs/>
                <w:iCs/>
                <w:szCs w:val="24"/>
                <w:lang w:eastAsia="lv-LV"/>
              </w:rPr>
              <w:t> </w:t>
            </w:r>
            <w:r w:rsidR="00416C0E" w:rsidRPr="008C33B4">
              <w:rPr>
                <w:rFonts w:eastAsia="Times New Roman" w:cs="Times New Roman"/>
                <w:bCs/>
                <w:iCs/>
                <w:szCs w:val="24"/>
                <w:lang w:eastAsia="lv-LV"/>
              </w:rPr>
              <w:t xml:space="preserve">7 </w:t>
            </w:r>
            <w:r w:rsidR="00CD169F">
              <w:rPr>
                <w:rFonts w:eastAsia="Times New Roman" w:cs="Times New Roman"/>
                <w:bCs/>
                <w:iCs/>
                <w:szCs w:val="24"/>
                <w:lang w:eastAsia="lv-LV"/>
              </w:rPr>
              <w:t>"</w:t>
            </w:r>
            <w:r w:rsidR="00416C0E" w:rsidRPr="008C33B4">
              <w:rPr>
                <w:rFonts w:eastAsia="Times New Roman" w:cs="Times New Roman"/>
                <w:bCs/>
                <w:iCs/>
                <w:szCs w:val="24"/>
                <w:lang w:eastAsia="lv-LV"/>
              </w:rPr>
              <w:t>Ārvalstu finanšu instrumentu finansētu civiltiesisku līgumu izstrādes un slēgšanas instrukcija valsts tiešās pārvaldes iestādēs</w:t>
            </w:r>
            <w:r w:rsidR="00CD169F">
              <w:rPr>
                <w:rFonts w:eastAsia="Times New Roman" w:cs="Times New Roman"/>
                <w:bCs/>
                <w:iCs/>
                <w:szCs w:val="24"/>
                <w:lang w:eastAsia="lv-LV"/>
              </w:rPr>
              <w:t>"</w:t>
            </w:r>
            <w:r w:rsidR="00C12B3C">
              <w:rPr>
                <w:rFonts w:eastAsia="Times New Roman" w:cs="Times New Roman"/>
                <w:bCs/>
                <w:iCs/>
                <w:szCs w:val="24"/>
                <w:lang w:eastAsia="lv-LV"/>
              </w:rPr>
              <w:t xml:space="preserve"> </w:t>
            </w:r>
            <w:r w:rsidRPr="008C33B4">
              <w:rPr>
                <w:rFonts w:eastAsia="Times New Roman" w:cs="Times New Roman"/>
                <w:bCs/>
                <w:iCs/>
                <w:szCs w:val="24"/>
                <w:lang w:eastAsia="lv-LV"/>
              </w:rPr>
              <w:t xml:space="preserve">ir sasniegts tās mērķis </w:t>
            </w:r>
            <w:r w:rsidR="00900E3A">
              <w:rPr>
                <w:rFonts w:eastAsia="Times New Roman" w:cs="Times New Roman"/>
                <w:bCs/>
                <w:iCs/>
                <w:szCs w:val="24"/>
                <w:lang w:eastAsia="lv-LV"/>
              </w:rPr>
              <w:t xml:space="preserve">– </w:t>
            </w:r>
            <w:r w:rsidRPr="008C33B4">
              <w:rPr>
                <w:rFonts w:eastAsia="Times New Roman" w:cs="Times New Roman"/>
                <w:bCs/>
                <w:iCs/>
                <w:szCs w:val="24"/>
                <w:lang w:eastAsia="lv-LV"/>
              </w:rPr>
              <w:t>paaugstināt nod</w:t>
            </w:r>
            <w:r w:rsidR="00900E3A">
              <w:rPr>
                <w:rFonts w:eastAsia="Times New Roman" w:cs="Times New Roman"/>
                <w:bCs/>
                <w:iCs/>
                <w:szCs w:val="24"/>
                <w:lang w:eastAsia="lv-LV"/>
              </w:rPr>
              <w:t>evumu kvalitāti un tās kontroli</w:t>
            </w:r>
            <w:r w:rsidR="00C12B3C">
              <w:rPr>
                <w:rFonts w:eastAsia="Times New Roman" w:cs="Times New Roman"/>
                <w:bCs/>
                <w:iCs/>
                <w:szCs w:val="24"/>
                <w:lang w:eastAsia="lv-LV"/>
              </w:rPr>
              <w:t>.</w:t>
            </w:r>
          </w:p>
          <w:p w14:paraId="2D29CF38" w14:textId="11CC1F68" w:rsidR="00517268" w:rsidRPr="008C33B4" w:rsidRDefault="00517268" w:rsidP="00517268">
            <w:pPr>
              <w:tabs>
                <w:tab w:val="left" w:pos="459"/>
              </w:tabs>
              <w:jc w:val="both"/>
              <w:rPr>
                <w:rFonts w:eastAsia="Times New Roman" w:cs="Times New Roman"/>
                <w:bCs/>
                <w:iCs/>
                <w:szCs w:val="24"/>
                <w:lang w:eastAsia="lv-LV"/>
              </w:rPr>
            </w:pPr>
            <w:r w:rsidRPr="008C33B4">
              <w:rPr>
                <w:rFonts w:eastAsia="Times New Roman" w:cs="Times New Roman"/>
                <w:bCs/>
                <w:iCs/>
                <w:szCs w:val="24"/>
                <w:lang w:eastAsia="lv-LV"/>
              </w:rPr>
              <w:t>2.</w:t>
            </w:r>
            <w:r w:rsidRPr="008C33B4">
              <w:rPr>
                <w:rFonts w:eastAsia="Times New Roman" w:cs="Times New Roman"/>
                <w:bCs/>
                <w:iCs/>
                <w:szCs w:val="24"/>
                <w:lang w:eastAsia="lv-LV"/>
              </w:rPr>
              <w:tab/>
            </w:r>
            <w:r w:rsidR="00C12B3C">
              <w:rPr>
                <w:rFonts w:eastAsia="Times New Roman" w:cs="Times New Roman"/>
                <w:bCs/>
                <w:iCs/>
                <w:szCs w:val="24"/>
                <w:lang w:eastAsia="lv-LV"/>
              </w:rPr>
              <w:t>K</w:t>
            </w:r>
            <w:r w:rsidRPr="008C33B4">
              <w:rPr>
                <w:rFonts w:eastAsia="Times New Roman" w:cs="Times New Roman"/>
                <w:bCs/>
                <w:iCs/>
                <w:szCs w:val="24"/>
                <w:lang w:eastAsia="lv-LV"/>
              </w:rPr>
              <w:t>ā varētu samazināt administratīvo slogu attiecībā uz Instrukcijas nosacījumu ievērošanu</w:t>
            </w:r>
            <w:r w:rsidR="00C12B3C">
              <w:rPr>
                <w:rFonts w:eastAsia="Times New Roman" w:cs="Times New Roman"/>
                <w:bCs/>
                <w:iCs/>
                <w:szCs w:val="24"/>
                <w:lang w:eastAsia="lv-LV"/>
              </w:rPr>
              <w:t>.</w:t>
            </w:r>
          </w:p>
          <w:p w14:paraId="2D29CF39" w14:textId="77AF1851" w:rsidR="00517268" w:rsidRDefault="00517268" w:rsidP="00517268">
            <w:pPr>
              <w:tabs>
                <w:tab w:val="left" w:pos="459"/>
              </w:tabs>
              <w:jc w:val="both"/>
              <w:rPr>
                <w:rFonts w:eastAsia="Times New Roman" w:cs="Times New Roman"/>
                <w:bCs/>
                <w:iCs/>
                <w:szCs w:val="24"/>
                <w:lang w:eastAsia="lv-LV"/>
              </w:rPr>
            </w:pPr>
            <w:r w:rsidRPr="008C33B4">
              <w:rPr>
                <w:rFonts w:eastAsia="Times New Roman" w:cs="Times New Roman"/>
                <w:bCs/>
                <w:iCs/>
                <w:szCs w:val="24"/>
                <w:lang w:eastAsia="lv-LV"/>
              </w:rPr>
              <w:t>3.</w:t>
            </w:r>
            <w:r w:rsidRPr="008C33B4">
              <w:rPr>
                <w:rFonts w:eastAsia="Times New Roman" w:cs="Times New Roman"/>
                <w:bCs/>
                <w:iCs/>
                <w:szCs w:val="24"/>
                <w:lang w:eastAsia="lv-LV"/>
              </w:rPr>
              <w:tab/>
            </w:r>
            <w:r w:rsidR="00C12B3C">
              <w:rPr>
                <w:rFonts w:eastAsia="Times New Roman" w:cs="Times New Roman"/>
                <w:bCs/>
                <w:iCs/>
                <w:szCs w:val="24"/>
                <w:lang w:eastAsia="lv-LV"/>
              </w:rPr>
              <w:t>I</w:t>
            </w:r>
            <w:r w:rsidRPr="008C33B4">
              <w:rPr>
                <w:rFonts w:eastAsia="Times New Roman" w:cs="Times New Roman"/>
                <w:bCs/>
                <w:iCs/>
                <w:szCs w:val="24"/>
                <w:lang w:eastAsia="lv-LV"/>
              </w:rPr>
              <w:t xml:space="preserve">espēju </w:t>
            </w:r>
            <w:r w:rsidR="00C12B3C">
              <w:rPr>
                <w:rFonts w:eastAsia="Times New Roman" w:cs="Times New Roman"/>
                <w:bCs/>
                <w:iCs/>
                <w:szCs w:val="24"/>
                <w:lang w:eastAsia="lv-LV"/>
              </w:rPr>
              <w:t>i</w:t>
            </w:r>
            <w:r w:rsidRPr="008C33B4">
              <w:rPr>
                <w:rFonts w:eastAsia="Times New Roman" w:cs="Times New Roman"/>
                <w:bCs/>
                <w:iCs/>
                <w:szCs w:val="24"/>
                <w:lang w:eastAsia="lv-LV"/>
              </w:rPr>
              <w:t>nstrukciju izdot kā vadlīnijas, tādējādi atvieglojot tās piemērošanu, it īpaši neliela apjoma iepirkumiem.</w:t>
            </w:r>
          </w:p>
          <w:p w14:paraId="2D29CF3A" w14:textId="77777777" w:rsidR="00517268" w:rsidRDefault="00517268" w:rsidP="00B97ACD">
            <w:pPr>
              <w:tabs>
                <w:tab w:val="left" w:pos="459"/>
              </w:tabs>
              <w:jc w:val="both"/>
            </w:pPr>
          </w:p>
          <w:p w14:paraId="2D29CF3B" w14:textId="730FF3B3" w:rsidR="00D04790" w:rsidRDefault="00AD3674" w:rsidP="00B97ACD">
            <w:pPr>
              <w:tabs>
                <w:tab w:val="left" w:pos="459"/>
              </w:tabs>
              <w:jc w:val="both"/>
            </w:pPr>
            <w:r>
              <w:t xml:space="preserve">Lai nodrošinātu </w:t>
            </w:r>
            <w:r w:rsidR="00C12B3C">
              <w:t>r</w:t>
            </w:r>
            <w:r>
              <w:t>ezolūcijā doto uzdevumu  izpildi un lemtu par turpmāko rīcību</w:t>
            </w:r>
            <w:r w:rsidR="00B96445">
              <w:t>,</w:t>
            </w:r>
            <w:r>
              <w:t xml:space="preserve"> </w:t>
            </w:r>
            <w:r w:rsidR="00D031D1">
              <w:t xml:space="preserve">kā arī </w:t>
            </w:r>
            <w:r w:rsidR="00C12B3C">
              <w:t>pamatojoties</w:t>
            </w:r>
            <w:r>
              <w:t xml:space="preserve"> uz apkopoto informāciju par konkrētiem gadījumiem no institūciju</w:t>
            </w:r>
            <w:r w:rsidR="004F3510">
              <w:t xml:space="preserve"> prakses </w:t>
            </w:r>
            <w:r w:rsidR="00C12B3C">
              <w:t>i</w:t>
            </w:r>
            <w:r>
              <w:t>nstrukcijas piemērošanā, Valsts kanceleja veica aptauju par valsts tiešās pārvaldes iest</w:t>
            </w:r>
            <w:r w:rsidR="007B6FAC">
              <w:t xml:space="preserve">āžu pieredzi </w:t>
            </w:r>
            <w:r w:rsidR="00C12B3C">
              <w:t>i</w:t>
            </w:r>
            <w:r>
              <w:t>nstrukcijas piemērošanā laikā no 2014</w:t>
            </w:r>
            <w:r w:rsidR="00CD169F">
              <w:t>. g</w:t>
            </w:r>
            <w:r>
              <w:t>ada 2. decembra līdz 2015.</w:t>
            </w:r>
            <w:r w:rsidR="00970753">
              <w:t> </w:t>
            </w:r>
            <w:r>
              <w:t>gada 30.</w:t>
            </w:r>
            <w:r w:rsidR="00B96445">
              <w:t xml:space="preserve"> </w:t>
            </w:r>
            <w:r w:rsidR="004C7F6C">
              <w:t>jūnijam</w:t>
            </w:r>
            <w:r w:rsidR="00C12B3C">
              <w:t>. T</w:t>
            </w:r>
            <w:r w:rsidR="00A6295F">
              <w:t xml:space="preserve">ika saņemti arī vairāki priekšlikumi </w:t>
            </w:r>
            <w:r w:rsidR="00C12B3C">
              <w:t>i</w:t>
            </w:r>
            <w:r w:rsidR="00A6295F">
              <w:t>nstrukcijas normatīvā regulējuma pilnveidei</w:t>
            </w:r>
            <w:r w:rsidR="00B96445">
              <w:t>.</w:t>
            </w:r>
            <w:r w:rsidR="007B6FAC">
              <w:t xml:space="preserve"> </w:t>
            </w:r>
            <w:r w:rsidR="00C12B3C">
              <w:t>Pamatojoties</w:t>
            </w:r>
            <w:r w:rsidR="00821670">
              <w:t xml:space="preserve"> uz aptaujas rezultātā saņemto informāciju, </w:t>
            </w:r>
            <w:r w:rsidR="007B6FAC">
              <w:t xml:space="preserve">Valsts </w:t>
            </w:r>
            <w:r w:rsidR="00821670">
              <w:t>k</w:t>
            </w:r>
            <w:r w:rsidR="007B6FAC">
              <w:t>anceleja</w:t>
            </w:r>
            <w:r w:rsidR="00821670">
              <w:t>s vadī</w:t>
            </w:r>
            <w:r w:rsidR="004C7F6C">
              <w:t>b</w:t>
            </w:r>
            <w:r w:rsidR="00821670">
              <w:t>ā</w:t>
            </w:r>
            <w:r w:rsidR="004C7F6C">
              <w:t xml:space="preserve"> tika izveidota</w:t>
            </w:r>
            <w:r w:rsidR="00550AE3">
              <w:t xml:space="preserve"> starpinstitūciju</w:t>
            </w:r>
            <w:r w:rsidR="00821670">
              <w:t xml:space="preserve"> darba </w:t>
            </w:r>
            <w:r w:rsidR="00550AE3">
              <w:t xml:space="preserve">grupa, kurā iesaistītas arī nevalstiskās organizācijas, </w:t>
            </w:r>
            <w:r w:rsidR="004C7F6C">
              <w:t>nodrošinot Instrukcijas grozījumu izstrādi</w:t>
            </w:r>
            <w:r w:rsidR="00821670">
              <w:t>.</w:t>
            </w:r>
          </w:p>
          <w:p w14:paraId="2D29CF3C" w14:textId="77777777" w:rsidR="00917CAE" w:rsidRDefault="00917CAE" w:rsidP="00B97ACD">
            <w:pPr>
              <w:tabs>
                <w:tab w:val="left" w:pos="459"/>
              </w:tabs>
              <w:jc w:val="both"/>
            </w:pPr>
          </w:p>
          <w:p w14:paraId="2D29CF3D" w14:textId="098F320A" w:rsidR="002B5E91" w:rsidRDefault="002B5E91" w:rsidP="00B97ACD">
            <w:pPr>
              <w:tabs>
                <w:tab w:val="left" w:pos="459"/>
              </w:tabs>
              <w:jc w:val="both"/>
            </w:pPr>
            <w:r w:rsidRPr="002B5E91">
              <w:t xml:space="preserve">Pēc </w:t>
            </w:r>
            <w:r w:rsidR="00B96445">
              <w:t>aptaujas</w:t>
            </w:r>
            <w:r w:rsidRPr="002B5E91">
              <w:t xml:space="preserve"> rezultātiem nevar secināt, ka </w:t>
            </w:r>
            <w:r w:rsidR="00C12B3C">
              <w:t>i</w:t>
            </w:r>
            <w:r w:rsidRPr="002B5E91">
              <w:t>nstrukcijai būtu tieša ietekme uz nodevumu kvalitātes un tās kontroles paaugstināšanu</w:t>
            </w:r>
            <w:r w:rsidR="00550AE3">
              <w:t>,</w:t>
            </w:r>
            <w:r w:rsidRPr="002B5E91">
              <w:t xml:space="preserve"> </w:t>
            </w:r>
            <w:r w:rsidR="00550AE3">
              <w:t>jo t</w:t>
            </w:r>
            <w:r w:rsidRPr="002B5E91">
              <w:t>ikai viena institūcija bij</w:t>
            </w:r>
            <w:r w:rsidR="00B96445">
              <w:t xml:space="preserve">a identificējusi gadījumu, kad </w:t>
            </w:r>
            <w:r w:rsidR="00C12B3C">
              <w:t>i</w:t>
            </w:r>
            <w:r w:rsidRPr="002B5E91">
              <w:t>nstrukcijas normu iekļaušana civiltiesiskajā līgumā devusi iespēju izvairīties no iestādes vai valsts interesēm nelabvēlīgu seku iestāšanās un nekvalitatīvu nodevumu pieņemšanas</w:t>
            </w:r>
            <w:r w:rsidR="00550AE3">
              <w:t xml:space="preserve">, tomēr darba grupas ietvaros pārstāvētās institūcijas vairākkārt pauda viedokli, ka </w:t>
            </w:r>
            <w:r w:rsidR="00C12B3C">
              <w:t>i</w:t>
            </w:r>
            <w:r w:rsidR="00550AE3">
              <w:t xml:space="preserve">nstrukcija ir būtisks instruments, lai preventīvi novērstu valsts interesēm nelabvēlīgu </w:t>
            </w:r>
            <w:r w:rsidR="00550AE3" w:rsidRPr="00550AE3">
              <w:t>civiltiesisku līgumu slēgšanu ārvalstu finanšu instrumentu administrēšanas procesā</w:t>
            </w:r>
            <w:r w:rsidR="00D031D1">
              <w:t>,</w:t>
            </w:r>
            <w:r w:rsidR="00550AE3">
              <w:t xml:space="preserve"> kā tas notika pirmskrīzes periodā</w:t>
            </w:r>
            <w:r w:rsidR="004E5035">
              <w:t xml:space="preserve"> laikā no 2006.  </w:t>
            </w:r>
            <w:r w:rsidR="00A6295F">
              <w:t>līdz 2009.</w:t>
            </w:r>
            <w:r w:rsidR="00D031D1">
              <w:t> </w:t>
            </w:r>
            <w:r w:rsidR="00A6295F">
              <w:t>gadam</w:t>
            </w:r>
            <w:r w:rsidRPr="002B5E91">
              <w:t>.</w:t>
            </w:r>
          </w:p>
          <w:p w14:paraId="2D29CF3E" w14:textId="77777777" w:rsidR="002B5E91" w:rsidRDefault="002B5E91" w:rsidP="00B97ACD">
            <w:pPr>
              <w:tabs>
                <w:tab w:val="left" w:pos="459"/>
              </w:tabs>
              <w:jc w:val="both"/>
            </w:pPr>
          </w:p>
          <w:p w14:paraId="2D29CF3F" w14:textId="014D1AC4" w:rsidR="000D5101" w:rsidRDefault="00A6295F" w:rsidP="00917CAE">
            <w:pPr>
              <w:tabs>
                <w:tab w:val="left" w:pos="459"/>
              </w:tabs>
              <w:jc w:val="both"/>
              <w:rPr>
                <w:rFonts w:eastAsia="Times New Roman" w:cs="Times New Roman"/>
                <w:bCs/>
                <w:iCs/>
                <w:szCs w:val="24"/>
                <w:lang w:eastAsia="lv-LV"/>
              </w:rPr>
            </w:pPr>
            <w:r>
              <w:rPr>
                <w:rFonts w:eastAsia="Times New Roman" w:cs="Times New Roman"/>
                <w:bCs/>
                <w:iCs/>
                <w:szCs w:val="24"/>
                <w:lang w:eastAsia="lv-LV"/>
              </w:rPr>
              <w:t>Tāpat t</w:t>
            </w:r>
            <w:r w:rsidR="000D5101">
              <w:rPr>
                <w:rFonts w:eastAsia="Times New Roman" w:cs="Times New Roman"/>
                <w:bCs/>
                <w:iCs/>
                <w:szCs w:val="24"/>
                <w:lang w:eastAsia="lv-LV"/>
              </w:rPr>
              <w:t>ika secināts</w:t>
            </w:r>
            <w:r w:rsidR="000D5101" w:rsidRPr="000D5101">
              <w:rPr>
                <w:rFonts w:eastAsia="Times New Roman" w:cs="Times New Roman"/>
                <w:bCs/>
                <w:iCs/>
                <w:szCs w:val="24"/>
                <w:lang w:eastAsia="lv-LV"/>
              </w:rPr>
              <w:t xml:space="preserve">, ka nepastāv būtiskas sistēmiska </w:t>
            </w:r>
            <w:r w:rsidR="00B17D34">
              <w:rPr>
                <w:rFonts w:eastAsia="Times New Roman" w:cs="Times New Roman"/>
                <w:bCs/>
                <w:iCs/>
                <w:szCs w:val="24"/>
                <w:lang w:eastAsia="lv-LV"/>
              </w:rPr>
              <w:t xml:space="preserve">rakstura problēmas vai šķēršļi </w:t>
            </w:r>
            <w:r w:rsidR="00C12B3C">
              <w:rPr>
                <w:rFonts w:eastAsia="Times New Roman" w:cs="Times New Roman"/>
                <w:bCs/>
                <w:iCs/>
                <w:szCs w:val="24"/>
                <w:lang w:eastAsia="lv-LV"/>
              </w:rPr>
              <w:t>i</w:t>
            </w:r>
            <w:r w:rsidR="000D5101" w:rsidRPr="000D5101">
              <w:rPr>
                <w:rFonts w:eastAsia="Times New Roman" w:cs="Times New Roman"/>
                <w:bCs/>
                <w:iCs/>
                <w:szCs w:val="24"/>
                <w:lang w:eastAsia="lv-LV"/>
              </w:rPr>
              <w:t>nstrukcijas n</w:t>
            </w:r>
            <w:r w:rsidR="000D5101">
              <w:rPr>
                <w:rFonts w:eastAsia="Times New Roman" w:cs="Times New Roman"/>
                <w:bCs/>
                <w:iCs/>
                <w:szCs w:val="24"/>
                <w:lang w:eastAsia="lv-LV"/>
              </w:rPr>
              <w:t xml:space="preserve">ormatīvā regulējuma piemērošanā, kādēļ nav </w:t>
            </w:r>
            <w:r w:rsidR="000D5101" w:rsidRPr="000D5101">
              <w:rPr>
                <w:rFonts w:eastAsia="Times New Roman" w:cs="Times New Roman"/>
                <w:bCs/>
                <w:iCs/>
                <w:szCs w:val="24"/>
                <w:lang w:eastAsia="lv-LV"/>
              </w:rPr>
              <w:t xml:space="preserve">pamata </w:t>
            </w:r>
            <w:r w:rsidR="00C12B3C">
              <w:rPr>
                <w:rFonts w:eastAsia="Times New Roman" w:cs="Times New Roman"/>
                <w:bCs/>
                <w:iCs/>
                <w:szCs w:val="24"/>
                <w:lang w:eastAsia="lv-LV"/>
              </w:rPr>
              <w:t>i</w:t>
            </w:r>
            <w:r w:rsidR="000D5101" w:rsidRPr="000D5101">
              <w:rPr>
                <w:rFonts w:eastAsia="Times New Roman" w:cs="Times New Roman"/>
                <w:bCs/>
                <w:iCs/>
                <w:szCs w:val="24"/>
                <w:lang w:eastAsia="lv-LV"/>
              </w:rPr>
              <w:t xml:space="preserve">nstrukciju izdot kā vadlīnijas ar ieteikuma raksturu, jo tādējādi valsts pārvaldes iestādēm nebūtu tiesisku saistību </w:t>
            </w:r>
            <w:r w:rsidR="00C12B3C">
              <w:rPr>
                <w:rFonts w:eastAsia="Times New Roman" w:cs="Times New Roman"/>
                <w:bCs/>
                <w:iCs/>
                <w:szCs w:val="24"/>
                <w:lang w:eastAsia="lv-LV"/>
              </w:rPr>
              <w:t>i</w:t>
            </w:r>
            <w:r w:rsidR="000D5101" w:rsidRPr="000D5101">
              <w:rPr>
                <w:rFonts w:eastAsia="Times New Roman" w:cs="Times New Roman"/>
                <w:bCs/>
                <w:iCs/>
                <w:szCs w:val="24"/>
                <w:lang w:eastAsia="lv-LV"/>
              </w:rPr>
              <w:t>nstrukcijas normatīvo regulējumu iekļaut civiltiesiskajos līgumos un pieaugtu valsts interesēm nelabvēlīgu civiltiesisku līgumu slēgšanas risks ārvalstu finanšu instrumentu administrēšanas procesā.</w:t>
            </w:r>
          </w:p>
          <w:p w14:paraId="2D29CF40" w14:textId="77777777" w:rsidR="000D5101" w:rsidRDefault="000D5101" w:rsidP="00917CAE">
            <w:pPr>
              <w:tabs>
                <w:tab w:val="left" w:pos="459"/>
              </w:tabs>
              <w:jc w:val="both"/>
              <w:rPr>
                <w:rFonts w:eastAsia="Times New Roman" w:cs="Times New Roman"/>
                <w:bCs/>
                <w:iCs/>
                <w:szCs w:val="24"/>
                <w:lang w:eastAsia="lv-LV"/>
              </w:rPr>
            </w:pPr>
          </w:p>
          <w:p w14:paraId="2D29CF41" w14:textId="676A18D0" w:rsidR="00917CAE" w:rsidRDefault="000D5101" w:rsidP="00917CAE">
            <w:pPr>
              <w:tabs>
                <w:tab w:val="left" w:pos="459"/>
              </w:tabs>
              <w:jc w:val="both"/>
              <w:rPr>
                <w:rFonts w:eastAsia="Times New Roman" w:cs="Times New Roman"/>
                <w:bCs/>
                <w:iCs/>
                <w:szCs w:val="24"/>
                <w:lang w:eastAsia="lv-LV"/>
              </w:rPr>
            </w:pPr>
            <w:r w:rsidRPr="000D5101">
              <w:rPr>
                <w:rFonts w:eastAsia="Times New Roman" w:cs="Times New Roman"/>
                <w:bCs/>
                <w:iCs/>
                <w:szCs w:val="24"/>
                <w:lang w:eastAsia="lv-LV"/>
              </w:rPr>
              <w:t xml:space="preserve">Tomēr, vērtējot institūciju sniegtos priekšlikumus par administratīvā sloga mazināšanas iespējām </w:t>
            </w:r>
            <w:r w:rsidR="00C12B3C">
              <w:rPr>
                <w:rFonts w:eastAsia="Times New Roman" w:cs="Times New Roman"/>
                <w:bCs/>
                <w:iCs/>
                <w:szCs w:val="24"/>
                <w:lang w:eastAsia="lv-LV"/>
              </w:rPr>
              <w:t>i</w:t>
            </w:r>
            <w:r w:rsidRPr="000D5101">
              <w:rPr>
                <w:rFonts w:eastAsia="Times New Roman" w:cs="Times New Roman"/>
                <w:bCs/>
                <w:iCs/>
                <w:szCs w:val="24"/>
                <w:lang w:eastAsia="lv-LV"/>
              </w:rPr>
              <w:t xml:space="preserve">nstrukcijas </w:t>
            </w:r>
            <w:r w:rsidRPr="000D5101">
              <w:rPr>
                <w:rFonts w:eastAsia="Times New Roman" w:cs="Times New Roman"/>
                <w:bCs/>
                <w:iCs/>
                <w:szCs w:val="24"/>
                <w:lang w:eastAsia="lv-LV"/>
              </w:rPr>
              <w:lastRenderedPageBreak/>
              <w:t>nosacījumu piemērošan</w:t>
            </w:r>
            <w:r w:rsidR="00B96445">
              <w:rPr>
                <w:rFonts w:eastAsia="Times New Roman" w:cs="Times New Roman"/>
                <w:bCs/>
                <w:iCs/>
                <w:szCs w:val="24"/>
                <w:lang w:eastAsia="lv-LV"/>
              </w:rPr>
              <w:t xml:space="preserve">ā un konstatētos gadījumus par </w:t>
            </w:r>
            <w:r w:rsidR="00C12B3C">
              <w:rPr>
                <w:rFonts w:eastAsia="Times New Roman" w:cs="Times New Roman"/>
                <w:bCs/>
                <w:iCs/>
                <w:szCs w:val="24"/>
                <w:lang w:eastAsia="lv-LV"/>
              </w:rPr>
              <w:t>i</w:t>
            </w:r>
            <w:r w:rsidRPr="000D5101">
              <w:rPr>
                <w:rFonts w:eastAsia="Times New Roman" w:cs="Times New Roman"/>
                <w:bCs/>
                <w:iCs/>
                <w:szCs w:val="24"/>
                <w:lang w:eastAsia="lv-LV"/>
              </w:rPr>
              <w:t xml:space="preserve">nstrukcijas nosacījumu neatbilstību Civillikuma normām, kā arī vērtējot nevalstisko organizāciju un privātpersonu viedokli par pasūtītāja tiesību, pienākumu un atbildības nevienlīdzību attiecībā pret piegādātāju, </w:t>
            </w:r>
            <w:r>
              <w:rPr>
                <w:rFonts w:eastAsia="Times New Roman" w:cs="Times New Roman"/>
                <w:bCs/>
                <w:iCs/>
                <w:szCs w:val="24"/>
                <w:lang w:eastAsia="lv-LV"/>
              </w:rPr>
              <w:t xml:space="preserve">secināms, </w:t>
            </w:r>
            <w:r w:rsidR="00B96445">
              <w:rPr>
                <w:rFonts w:eastAsia="Times New Roman" w:cs="Times New Roman"/>
                <w:bCs/>
                <w:iCs/>
                <w:szCs w:val="24"/>
                <w:lang w:eastAsia="lv-LV"/>
              </w:rPr>
              <w:t xml:space="preserve">ka </w:t>
            </w:r>
            <w:r w:rsidR="00A6295F">
              <w:rPr>
                <w:rFonts w:eastAsia="Times New Roman" w:cs="Times New Roman"/>
                <w:bCs/>
                <w:iCs/>
                <w:szCs w:val="24"/>
                <w:lang w:eastAsia="lv-LV"/>
              </w:rPr>
              <w:t>ir</w:t>
            </w:r>
            <w:r w:rsidR="00F0748A">
              <w:rPr>
                <w:rFonts w:eastAsia="Times New Roman" w:cs="Times New Roman"/>
                <w:bCs/>
                <w:iCs/>
                <w:szCs w:val="24"/>
                <w:lang w:eastAsia="lv-LV"/>
              </w:rPr>
              <w:t xml:space="preserve"> nepieciešams</w:t>
            </w:r>
            <w:r w:rsidRPr="000D5101">
              <w:rPr>
                <w:rFonts w:eastAsia="Times New Roman" w:cs="Times New Roman"/>
                <w:bCs/>
                <w:iCs/>
                <w:szCs w:val="24"/>
                <w:lang w:eastAsia="lv-LV"/>
              </w:rPr>
              <w:t xml:space="preserve"> pilnveidot </w:t>
            </w:r>
            <w:r w:rsidR="00C12B3C">
              <w:rPr>
                <w:rFonts w:eastAsia="Times New Roman" w:cs="Times New Roman"/>
                <w:bCs/>
                <w:iCs/>
                <w:szCs w:val="24"/>
                <w:lang w:eastAsia="lv-LV"/>
              </w:rPr>
              <w:t>i</w:t>
            </w:r>
            <w:r w:rsidR="00D031D1">
              <w:rPr>
                <w:rFonts w:eastAsia="Times New Roman" w:cs="Times New Roman"/>
                <w:bCs/>
                <w:iCs/>
                <w:szCs w:val="24"/>
                <w:lang w:eastAsia="lv-LV"/>
              </w:rPr>
              <w:t>nstrukcijas</w:t>
            </w:r>
            <w:r w:rsidR="00D031D1" w:rsidRPr="000D5101">
              <w:rPr>
                <w:rFonts w:eastAsia="Times New Roman" w:cs="Times New Roman"/>
                <w:bCs/>
                <w:iCs/>
                <w:szCs w:val="24"/>
                <w:lang w:eastAsia="lv-LV"/>
              </w:rPr>
              <w:t xml:space="preserve"> </w:t>
            </w:r>
            <w:r w:rsidRPr="000D5101">
              <w:rPr>
                <w:rFonts w:eastAsia="Times New Roman" w:cs="Times New Roman"/>
                <w:bCs/>
                <w:iCs/>
                <w:szCs w:val="24"/>
                <w:lang w:eastAsia="lv-LV"/>
              </w:rPr>
              <w:t xml:space="preserve">normatīvo regulējumu (īpaši attiecībā uz neliela apjoma iepirkumiem), mazinot administratīvo slogu </w:t>
            </w:r>
            <w:r w:rsidR="00C12B3C">
              <w:rPr>
                <w:rFonts w:eastAsia="Times New Roman" w:cs="Times New Roman"/>
                <w:bCs/>
                <w:iCs/>
                <w:szCs w:val="24"/>
                <w:lang w:eastAsia="lv-LV"/>
              </w:rPr>
              <w:t>i</w:t>
            </w:r>
            <w:r w:rsidRPr="000D5101">
              <w:rPr>
                <w:rFonts w:eastAsia="Times New Roman" w:cs="Times New Roman"/>
                <w:bCs/>
                <w:iCs/>
                <w:szCs w:val="24"/>
                <w:lang w:eastAsia="lv-LV"/>
              </w:rPr>
              <w:t xml:space="preserve">nstrukcijas regulējuma piemērošanā un iespējami sabalansējot pasūtītāja un piegādātāja intereses izvirzītajās prasībās, tiesībās, pienākumos un atbildībā civiltiesisko līgumu slēgšanas procesā. </w:t>
            </w:r>
          </w:p>
          <w:p w14:paraId="2D29CF42" w14:textId="77777777" w:rsidR="000D5101" w:rsidRPr="00917CAE" w:rsidRDefault="000D5101" w:rsidP="00917CAE">
            <w:pPr>
              <w:tabs>
                <w:tab w:val="left" w:pos="459"/>
              </w:tabs>
              <w:jc w:val="both"/>
              <w:rPr>
                <w:rFonts w:eastAsia="Times New Roman" w:cs="Times New Roman"/>
                <w:bCs/>
                <w:iCs/>
                <w:szCs w:val="24"/>
                <w:lang w:eastAsia="lv-LV"/>
              </w:rPr>
            </w:pPr>
          </w:p>
          <w:p w14:paraId="2D29CF43" w14:textId="26C28591" w:rsidR="00ED7BC0" w:rsidRDefault="000D5101" w:rsidP="00622D9B">
            <w:pPr>
              <w:tabs>
                <w:tab w:val="left" w:pos="459"/>
              </w:tabs>
              <w:jc w:val="both"/>
              <w:rPr>
                <w:rFonts w:eastAsia="Times New Roman" w:cs="Times New Roman"/>
                <w:bCs/>
                <w:iCs/>
                <w:szCs w:val="24"/>
                <w:lang w:eastAsia="lv-LV"/>
              </w:rPr>
            </w:pPr>
            <w:r>
              <w:rPr>
                <w:rFonts w:eastAsia="Times New Roman" w:cs="Times New Roman"/>
                <w:bCs/>
                <w:iCs/>
                <w:szCs w:val="24"/>
                <w:lang w:eastAsia="lv-LV"/>
              </w:rPr>
              <w:t xml:space="preserve">Tāpat konstatēts, ka </w:t>
            </w:r>
            <w:r w:rsidR="00C12B3C">
              <w:rPr>
                <w:rFonts w:eastAsia="Times New Roman" w:cs="Times New Roman"/>
                <w:bCs/>
                <w:iCs/>
                <w:szCs w:val="24"/>
                <w:lang w:eastAsia="lv-LV"/>
              </w:rPr>
              <w:t>i</w:t>
            </w:r>
            <w:r>
              <w:rPr>
                <w:rFonts w:eastAsia="Times New Roman" w:cs="Times New Roman"/>
                <w:bCs/>
                <w:iCs/>
                <w:szCs w:val="24"/>
                <w:lang w:eastAsia="lv-LV"/>
              </w:rPr>
              <w:t xml:space="preserve">nstrukcijā ir nepieciešams veikt </w:t>
            </w:r>
            <w:r w:rsidR="00157A24">
              <w:rPr>
                <w:rFonts w:eastAsia="Times New Roman" w:cs="Times New Roman"/>
                <w:bCs/>
                <w:iCs/>
                <w:szCs w:val="24"/>
                <w:lang w:eastAsia="lv-LV"/>
              </w:rPr>
              <w:t xml:space="preserve">arī </w:t>
            </w:r>
            <w:r>
              <w:rPr>
                <w:rFonts w:eastAsia="Times New Roman" w:cs="Times New Roman"/>
                <w:bCs/>
                <w:iCs/>
                <w:szCs w:val="24"/>
                <w:lang w:eastAsia="lv-LV"/>
              </w:rPr>
              <w:t>tehniska rakstura grozījum</w:t>
            </w:r>
            <w:r w:rsidR="00C12B3C">
              <w:rPr>
                <w:rFonts w:eastAsia="Times New Roman" w:cs="Times New Roman"/>
                <w:bCs/>
                <w:iCs/>
                <w:szCs w:val="24"/>
                <w:lang w:eastAsia="lv-LV"/>
              </w:rPr>
              <w:t>u</w:t>
            </w:r>
            <w:r>
              <w:rPr>
                <w:rFonts w:eastAsia="Times New Roman" w:cs="Times New Roman"/>
                <w:bCs/>
                <w:iCs/>
                <w:szCs w:val="24"/>
                <w:lang w:eastAsia="lv-LV"/>
              </w:rPr>
              <w:t>s, kas skar izmantoto terminoloģiju un juridisko tehniku.</w:t>
            </w:r>
          </w:p>
          <w:p w14:paraId="2D29CF44" w14:textId="77777777" w:rsidR="001E0F65" w:rsidRDefault="001E0F65" w:rsidP="00622D9B">
            <w:pPr>
              <w:tabs>
                <w:tab w:val="left" w:pos="459"/>
              </w:tabs>
              <w:jc w:val="both"/>
              <w:rPr>
                <w:rFonts w:eastAsia="Times New Roman" w:cs="Times New Roman"/>
                <w:bCs/>
                <w:iCs/>
                <w:szCs w:val="24"/>
                <w:lang w:eastAsia="lv-LV"/>
              </w:rPr>
            </w:pPr>
          </w:p>
          <w:p w14:paraId="2D29CF45" w14:textId="7656E0E9" w:rsidR="001E0F65" w:rsidRDefault="00157A24" w:rsidP="001D0AD0">
            <w:pPr>
              <w:tabs>
                <w:tab w:val="left" w:pos="459"/>
              </w:tabs>
              <w:jc w:val="both"/>
              <w:rPr>
                <w:rFonts w:eastAsia="Times New Roman" w:cs="Times New Roman"/>
                <w:bCs/>
                <w:iCs/>
                <w:szCs w:val="24"/>
                <w:lang w:eastAsia="lv-LV"/>
              </w:rPr>
            </w:pPr>
            <w:r>
              <w:rPr>
                <w:rFonts w:eastAsia="Times New Roman" w:cs="Times New Roman"/>
                <w:bCs/>
                <w:iCs/>
                <w:szCs w:val="24"/>
                <w:lang w:eastAsia="lv-LV"/>
              </w:rPr>
              <w:t>A</w:t>
            </w:r>
            <w:r w:rsidRPr="001D053B">
              <w:rPr>
                <w:rFonts w:eastAsia="Times New Roman" w:cs="Times New Roman"/>
                <w:bCs/>
                <w:iCs/>
                <w:szCs w:val="24"/>
                <w:lang w:eastAsia="lv-LV"/>
              </w:rPr>
              <w:t xml:space="preserve">tbilstoši </w:t>
            </w:r>
            <w:r>
              <w:rPr>
                <w:rFonts w:eastAsia="Times New Roman" w:cs="Times New Roman"/>
                <w:bCs/>
                <w:iCs/>
                <w:szCs w:val="24"/>
                <w:lang w:eastAsia="lv-LV"/>
              </w:rPr>
              <w:t>juridiskās tehnikas prasībām s</w:t>
            </w:r>
            <w:r w:rsidR="001D053B" w:rsidRPr="001D053B">
              <w:rPr>
                <w:rFonts w:eastAsia="Times New Roman" w:cs="Times New Roman"/>
                <w:bCs/>
                <w:iCs/>
                <w:szCs w:val="24"/>
                <w:lang w:eastAsia="lv-LV"/>
              </w:rPr>
              <w:t xml:space="preserve">akarā ar </w:t>
            </w:r>
            <w:r w:rsidR="00575E6C">
              <w:rPr>
                <w:rFonts w:eastAsia="Times New Roman" w:cs="Times New Roman"/>
                <w:bCs/>
                <w:iCs/>
                <w:szCs w:val="24"/>
                <w:lang w:eastAsia="lv-LV"/>
              </w:rPr>
              <w:t>i</w:t>
            </w:r>
            <w:r w:rsidR="001D053B">
              <w:rPr>
                <w:rFonts w:eastAsia="Times New Roman" w:cs="Times New Roman"/>
                <w:bCs/>
                <w:iCs/>
                <w:szCs w:val="24"/>
                <w:lang w:eastAsia="lv-LV"/>
              </w:rPr>
              <w:t>nstrukcijā</w:t>
            </w:r>
            <w:r w:rsidR="001D053B" w:rsidRPr="001D053B">
              <w:rPr>
                <w:rFonts w:eastAsia="Times New Roman" w:cs="Times New Roman"/>
                <w:bCs/>
                <w:iCs/>
                <w:szCs w:val="24"/>
                <w:lang w:eastAsia="lv-LV"/>
              </w:rPr>
              <w:t xml:space="preserve"> nepieciešamo grozījumu </w:t>
            </w:r>
            <w:r w:rsidR="00442B4F">
              <w:rPr>
                <w:rFonts w:eastAsia="Times New Roman" w:cs="Times New Roman"/>
                <w:bCs/>
                <w:iCs/>
                <w:szCs w:val="24"/>
                <w:lang w:eastAsia="lv-LV"/>
              </w:rPr>
              <w:t xml:space="preserve">ievērojamo </w:t>
            </w:r>
            <w:r w:rsidR="001D053B" w:rsidRPr="001D053B">
              <w:rPr>
                <w:rFonts w:eastAsia="Times New Roman" w:cs="Times New Roman"/>
                <w:bCs/>
                <w:iCs/>
                <w:szCs w:val="24"/>
                <w:lang w:eastAsia="lv-LV"/>
              </w:rPr>
              <w:t>apjomu</w:t>
            </w:r>
            <w:r w:rsidR="00A6295F">
              <w:rPr>
                <w:rFonts w:eastAsia="Times New Roman" w:cs="Times New Roman"/>
                <w:bCs/>
                <w:iCs/>
                <w:szCs w:val="24"/>
                <w:lang w:eastAsia="lv-LV"/>
              </w:rPr>
              <w:t xml:space="preserve">, kas pārsniedz pusi no </w:t>
            </w:r>
            <w:r w:rsidR="00575E6C">
              <w:rPr>
                <w:rFonts w:eastAsia="Times New Roman" w:cs="Times New Roman"/>
                <w:bCs/>
                <w:iCs/>
                <w:szCs w:val="24"/>
                <w:lang w:eastAsia="lv-LV"/>
              </w:rPr>
              <w:t>i</w:t>
            </w:r>
            <w:r w:rsidR="00A6295F">
              <w:rPr>
                <w:rFonts w:eastAsia="Times New Roman" w:cs="Times New Roman"/>
                <w:bCs/>
                <w:iCs/>
                <w:szCs w:val="24"/>
                <w:lang w:eastAsia="lv-LV"/>
              </w:rPr>
              <w:t>nstrukcijas normatīvā regulējuma,</w:t>
            </w:r>
            <w:r w:rsidR="001D053B" w:rsidRPr="001D053B">
              <w:rPr>
                <w:rFonts w:eastAsia="Times New Roman" w:cs="Times New Roman"/>
                <w:bCs/>
                <w:iCs/>
                <w:szCs w:val="24"/>
                <w:lang w:eastAsia="lv-LV"/>
              </w:rPr>
              <w:t xml:space="preserve"> ir izstrādāts jauns Ministru kabineta </w:t>
            </w:r>
            <w:r w:rsidR="001D053B">
              <w:rPr>
                <w:rFonts w:eastAsia="Times New Roman" w:cs="Times New Roman"/>
                <w:bCs/>
                <w:iCs/>
                <w:szCs w:val="24"/>
                <w:lang w:eastAsia="lv-LV"/>
              </w:rPr>
              <w:t>instrukcijas</w:t>
            </w:r>
            <w:r w:rsidR="001D053B" w:rsidRPr="001D053B">
              <w:rPr>
                <w:rFonts w:eastAsia="Times New Roman" w:cs="Times New Roman"/>
                <w:bCs/>
                <w:iCs/>
                <w:szCs w:val="24"/>
                <w:lang w:eastAsia="lv-LV"/>
              </w:rPr>
              <w:t xml:space="preserve"> projekts </w:t>
            </w:r>
            <w:r w:rsidR="00CD169F">
              <w:rPr>
                <w:rFonts w:eastAsia="Times New Roman" w:cs="Times New Roman"/>
                <w:bCs/>
                <w:iCs/>
                <w:szCs w:val="24"/>
                <w:lang w:eastAsia="lv-LV"/>
              </w:rPr>
              <w:t>"</w:t>
            </w:r>
            <w:r w:rsidR="001D053B" w:rsidRPr="001D053B">
              <w:rPr>
                <w:rFonts w:eastAsia="Times New Roman" w:cs="Times New Roman"/>
                <w:bCs/>
                <w:iCs/>
                <w:szCs w:val="24"/>
                <w:lang w:eastAsia="lv-LV"/>
              </w:rPr>
              <w:t>Ārvalstu finanšu instrumentu finansētu civiltiesisku līgumu izstrādes un slēgšanas instrukcija valsts tiešās pārvaldes</w:t>
            </w:r>
            <w:r w:rsidR="00DC7E3C">
              <w:rPr>
                <w:rFonts w:eastAsia="Times New Roman" w:cs="Times New Roman"/>
                <w:bCs/>
                <w:iCs/>
                <w:szCs w:val="24"/>
                <w:lang w:eastAsia="lv-LV"/>
              </w:rPr>
              <w:t xml:space="preserve"> iestādēs</w:t>
            </w:r>
            <w:r w:rsidR="00CD169F">
              <w:rPr>
                <w:rFonts w:eastAsia="Times New Roman" w:cs="Times New Roman"/>
                <w:bCs/>
                <w:iCs/>
                <w:szCs w:val="24"/>
                <w:lang w:eastAsia="lv-LV"/>
              </w:rPr>
              <w:t>"</w:t>
            </w:r>
            <w:r w:rsidR="001D053B" w:rsidRPr="001D053B">
              <w:rPr>
                <w:rFonts w:eastAsia="Times New Roman" w:cs="Times New Roman"/>
                <w:bCs/>
                <w:iCs/>
                <w:szCs w:val="24"/>
                <w:lang w:eastAsia="lv-LV"/>
              </w:rPr>
              <w:t>.</w:t>
            </w:r>
          </w:p>
          <w:p w14:paraId="2D29CF46" w14:textId="77777777" w:rsidR="00D61969" w:rsidRDefault="00D61969" w:rsidP="001D0AD0">
            <w:pPr>
              <w:tabs>
                <w:tab w:val="left" w:pos="459"/>
              </w:tabs>
              <w:jc w:val="both"/>
              <w:rPr>
                <w:rFonts w:eastAsia="Times New Roman" w:cs="Times New Roman"/>
                <w:bCs/>
                <w:iCs/>
                <w:szCs w:val="24"/>
                <w:lang w:eastAsia="lv-LV"/>
              </w:rPr>
            </w:pPr>
          </w:p>
          <w:p w14:paraId="2D29CF47" w14:textId="77777777" w:rsidR="00D61969" w:rsidRPr="00D61969" w:rsidRDefault="00D61969" w:rsidP="00D61969">
            <w:pPr>
              <w:tabs>
                <w:tab w:val="left" w:pos="459"/>
              </w:tabs>
              <w:jc w:val="both"/>
              <w:rPr>
                <w:rFonts w:eastAsia="Times New Roman" w:cs="Times New Roman"/>
                <w:bCs/>
                <w:iCs/>
                <w:szCs w:val="24"/>
                <w:lang w:eastAsia="lv-LV"/>
              </w:rPr>
            </w:pPr>
            <w:r w:rsidRPr="00D61969">
              <w:rPr>
                <w:rFonts w:eastAsia="Times New Roman" w:cs="Times New Roman"/>
                <w:bCs/>
                <w:iCs/>
                <w:szCs w:val="24"/>
                <w:lang w:eastAsia="lv-LV"/>
              </w:rPr>
              <w:t>Instrukcijas projekt</w:t>
            </w:r>
            <w:r w:rsidR="003E0FDA">
              <w:rPr>
                <w:rFonts w:eastAsia="Times New Roman" w:cs="Times New Roman"/>
                <w:bCs/>
                <w:iCs/>
                <w:szCs w:val="24"/>
                <w:lang w:eastAsia="lv-LV"/>
              </w:rPr>
              <w:t>a</w:t>
            </w:r>
            <w:r w:rsidRPr="00D61969">
              <w:rPr>
                <w:rFonts w:eastAsia="Times New Roman" w:cs="Times New Roman"/>
                <w:bCs/>
                <w:iCs/>
                <w:szCs w:val="24"/>
                <w:lang w:eastAsia="lv-LV"/>
              </w:rPr>
              <w:t xml:space="preserve"> </w:t>
            </w:r>
            <w:r w:rsidR="003E0FDA">
              <w:rPr>
                <w:rFonts w:eastAsia="Times New Roman" w:cs="Times New Roman"/>
                <w:bCs/>
                <w:iCs/>
                <w:szCs w:val="24"/>
                <w:lang w:eastAsia="lv-LV"/>
              </w:rPr>
              <w:t xml:space="preserve">mērķis ir </w:t>
            </w:r>
            <w:r w:rsidRPr="00D61969">
              <w:rPr>
                <w:rFonts w:eastAsia="Times New Roman" w:cs="Times New Roman"/>
                <w:bCs/>
                <w:iCs/>
                <w:szCs w:val="24"/>
                <w:lang w:eastAsia="lv-LV"/>
              </w:rPr>
              <w:t>no</w:t>
            </w:r>
            <w:r w:rsidR="003E0FDA">
              <w:rPr>
                <w:rFonts w:eastAsia="Times New Roman" w:cs="Times New Roman"/>
                <w:bCs/>
                <w:iCs/>
                <w:szCs w:val="24"/>
                <w:lang w:eastAsia="lv-LV"/>
              </w:rPr>
              <w:t>teikt</w:t>
            </w:r>
            <w:r w:rsidRPr="00D61969">
              <w:rPr>
                <w:rFonts w:eastAsia="Times New Roman" w:cs="Times New Roman"/>
                <w:bCs/>
                <w:iCs/>
                <w:szCs w:val="24"/>
                <w:lang w:eastAsia="lv-LV"/>
              </w:rPr>
              <w:t xml:space="preserve"> kārtību, kādā tiešās pārvaldes iestādes izstrādā un slēdz piegādes līgumus, pakalpojumu līgumus un būvdarbu līgumus, kuru izpildi pilnībā vai daļēji finansē ārvalstu finanšu instrumenti. Tātad instrukcijas projekts attiecas uz trim līgumu veidiem: preču piegādes, pakalpojumu sniegšanas, kā arī būvdarbu līgumiem. Instrukcijas projekts attiecas tikai uz tiem gadījumiem, kad iestāde izstrādā un slēdz līgumu kā atsevišķu rakstisku dokumentu tiesiska darījuma apliecināšanai. Instrukcijas projekts neattiecas uz gadījumiem, kad tiesiska darījuma vienīgais dokuments ir </w:t>
            </w:r>
            <w:r w:rsidR="00D031D1">
              <w:rPr>
                <w:rFonts w:eastAsia="Times New Roman" w:cs="Times New Roman"/>
                <w:bCs/>
                <w:iCs/>
                <w:szCs w:val="24"/>
                <w:lang w:eastAsia="lv-LV"/>
              </w:rPr>
              <w:t>attiecīgs</w:t>
            </w:r>
            <w:r w:rsidRPr="00D61969">
              <w:rPr>
                <w:rFonts w:eastAsia="Times New Roman" w:cs="Times New Roman"/>
                <w:bCs/>
                <w:iCs/>
                <w:szCs w:val="24"/>
                <w:lang w:eastAsia="lv-LV"/>
              </w:rPr>
              <w:t xml:space="preserve"> rēķins.</w:t>
            </w:r>
          </w:p>
          <w:p w14:paraId="2D29CF48" w14:textId="77777777" w:rsidR="00D61969" w:rsidRDefault="00D61969" w:rsidP="00D61969">
            <w:pPr>
              <w:tabs>
                <w:tab w:val="left" w:pos="459"/>
              </w:tabs>
              <w:jc w:val="both"/>
              <w:rPr>
                <w:rFonts w:eastAsia="Times New Roman" w:cs="Times New Roman"/>
                <w:bCs/>
                <w:iCs/>
                <w:szCs w:val="24"/>
                <w:lang w:eastAsia="lv-LV"/>
              </w:rPr>
            </w:pPr>
            <w:r w:rsidRPr="00D61969">
              <w:rPr>
                <w:rFonts w:eastAsia="Times New Roman" w:cs="Times New Roman"/>
                <w:bCs/>
                <w:iCs/>
                <w:szCs w:val="24"/>
                <w:lang w:eastAsia="lv-LV"/>
              </w:rPr>
              <w:t>Instrukcijas projekts ietver nosacījumus par līguma cenas samaksu, līguma izpildījuma termiņiem un kārtību, līguma izpildījuma nodrošinājumu, izpildījuma pieņemšanas un pretenziju izteikšanas kārtību, izpildījuma garantijām, intelektuālā īpašuma tiesībām, līdzēju apliecinājumiem, līdzēju konfidencialitātes saistībām un publicitātes noteikumiem, līdzēju sadarbības kārtību, nepārvaramu varu, līdzēju tiesiskās aizsardzības līdzekļiem, līguma grozīšanas kārtību, līguma atcelšanas kārtību, ārpustiesas strīdu izskatīšanas kārtību un citiem aspektiem, kas ir būtiski, izstrādājot un noslēdzot civiltiesisku līgumu.</w:t>
            </w:r>
          </w:p>
          <w:p w14:paraId="2D29CF49" w14:textId="77777777" w:rsidR="00D61969" w:rsidRDefault="00D61969" w:rsidP="00D61969">
            <w:pPr>
              <w:tabs>
                <w:tab w:val="left" w:pos="459"/>
              </w:tabs>
              <w:jc w:val="both"/>
              <w:rPr>
                <w:rFonts w:eastAsia="Times New Roman" w:cs="Times New Roman"/>
                <w:bCs/>
                <w:iCs/>
                <w:szCs w:val="24"/>
                <w:lang w:eastAsia="lv-LV"/>
              </w:rPr>
            </w:pPr>
            <w:r w:rsidRPr="00D61969">
              <w:rPr>
                <w:rFonts w:eastAsia="Times New Roman" w:cs="Times New Roman"/>
                <w:bCs/>
                <w:iCs/>
                <w:szCs w:val="24"/>
                <w:lang w:eastAsia="lv-LV"/>
              </w:rPr>
              <w:t>Instrukcija</w:t>
            </w:r>
            <w:r w:rsidR="00031129">
              <w:rPr>
                <w:rFonts w:eastAsia="Times New Roman" w:cs="Times New Roman"/>
                <w:bCs/>
                <w:iCs/>
                <w:szCs w:val="24"/>
                <w:lang w:eastAsia="lv-LV"/>
              </w:rPr>
              <w:t>s</w:t>
            </w:r>
            <w:r w:rsidRPr="00D61969">
              <w:rPr>
                <w:rFonts w:eastAsia="Times New Roman" w:cs="Times New Roman"/>
                <w:bCs/>
                <w:iCs/>
                <w:szCs w:val="24"/>
                <w:lang w:eastAsia="lv-LV"/>
              </w:rPr>
              <w:t xml:space="preserve"> projekts attiecas uz ārvalstu finanšu instrumentiem, kas minēti instrukcijas projekta 1.</w:t>
            </w:r>
            <w:r w:rsidR="00031129">
              <w:rPr>
                <w:rFonts w:eastAsia="Times New Roman" w:cs="Times New Roman"/>
                <w:bCs/>
                <w:iCs/>
                <w:szCs w:val="24"/>
                <w:lang w:eastAsia="lv-LV"/>
              </w:rPr>
              <w:t> </w:t>
            </w:r>
            <w:r w:rsidRPr="00D61969">
              <w:rPr>
                <w:rFonts w:eastAsia="Times New Roman" w:cs="Times New Roman"/>
                <w:bCs/>
                <w:iCs/>
                <w:szCs w:val="24"/>
                <w:lang w:eastAsia="lv-LV"/>
              </w:rPr>
              <w:t>punktā.</w:t>
            </w:r>
          </w:p>
          <w:p w14:paraId="2D29CF4A" w14:textId="7DFF50FD" w:rsidR="00B95932" w:rsidRDefault="00B95932" w:rsidP="00B95932">
            <w:pPr>
              <w:tabs>
                <w:tab w:val="left" w:pos="459"/>
              </w:tabs>
              <w:jc w:val="both"/>
              <w:rPr>
                <w:rFonts w:eastAsia="Times New Roman" w:cs="Times New Roman"/>
                <w:bCs/>
                <w:iCs/>
                <w:szCs w:val="24"/>
                <w:lang w:eastAsia="lv-LV"/>
              </w:rPr>
            </w:pPr>
            <w:r>
              <w:rPr>
                <w:rFonts w:eastAsia="Times New Roman" w:cs="Times New Roman"/>
                <w:bCs/>
                <w:iCs/>
                <w:szCs w:val="24"/>
                <w:lang w:eastAsia="lv-LV"/>
              </w:rPr>
              <w:t xml:space="preserve">Atšķirībā no spēkā esošā regulējuma instrukcijas projektā ietverti nosacījumi, kas mazina administratīvo slogu un </w:t>
            </w:r>
            <w:r>
              <w:rPr>
                <w:rFonts w:eastAsia="Times New Roman" w:cs="Times New Roman"/>
                <w:bCs/>
                <w:iCs/>
                <w:szCs w:val="24"/>
                <w:lang w:eastAsia="lv-LV"/>
              </w:rPr>
              <w:lastRenderedPageBreak/>
              <w:t>nosaka precīzāku un skaidrāku regulējumu gan pasūtītājam, gan piegādātājam, jo:</w:t>
            </w:r>
          </w:p>
          <w:p w14:paraId="2D29CF4B" w14:textId="77777777" w:rsidR="00B95932" w:rsidRPr="00B54EC6" w:rsidRDefault="00B95932" w:rsidP="00B95932">
            <w:pPr>
              <w:pStyle w:val="ListParagraph"/>
              <w:numPr>
                <w:ilvl w:val="0"/>
                <w:numId w:val="11"/>
              </w:numPr>
              <w:tabs>
                <w:tab w:val="left" w:pos="459"/>
              </w:tabs>
              <w:jc w:val="both"/>
              <w:rPr>
                <w:rFonts w:eastAsia="Times New Roman" w:cs="Times New Roman"/>
                <w:bCs/>
                <w:iCs/>
                <w:szCs w:val="24"/>
                <w:lang w:eastAsia="lv-LV"/>
              </w:rPr>
            </w:pPr>
            <w:r w:rsidRPr="00B54EC6">
              <w:rPr>
                <w:rFonts w:eastAsia="Times New Roman" w:cs="Times New Roman"/>
                <w:bCs/>
                <w:iCs/>
                <w:szCs w:val="24"/>
                <w:lang w:eastAsia="lv-LV"/>
              </w:rPr>
              <w:t>ir palielināti līgumcenas vai tās daļas sliekšņi, kurus finansējot no ārvalstu finanšu instrumentiem ir jāpiemēro instrukcijas projekts;</w:t>
            </w:r>
          </w:p>
          <w:p w14:paraId="2D29CF4C" w14:textId="77777777" w:rsidR="00B95932" w:rsidRDefault="00B95932" w:rsidP="00B95932">
            <w:pPr>
              <w:pStyle w:val="ListParagraph"/>
              <w:numPr>
                <w:ilvl w:val="0"/>
                <w:numId w:val="11"/>
              </w:numPr>
              <w:tabs>
                <w:tab w:val="left" w:pos="459"/>
              </w:tabs>
              <w:jc w:val="both"/>
              <w:rPr>
                <w:rFonts w:eastAsia="Times New Roman" w:cs="Times New Roman"/>
                <w:bCs/>
                <w:iCs/>
                <w:szCs w:val="24"/>
                <w:lang w:eastAsia="lv-LV"/>
              </w:rPr>
            </w:pPr>
            <w:r>
              <w:rPr>
                <w:rFonts w:eastAsia="Times New Roman" w:cs="Times New Roman"/>
                <w:bCs/>
                <w:iCs/>
                <w:szCs w:val="24"/>
                <w:lang w:eastAsia="lv-LV"/>
              </w:rPr>
              <w:t>ir novērstas konstatētās pretrunas ar Civillikumu;</w:t>
            </w:r>
          </w:p>
          <w:p w14:paraId="2D29CF4D" w14:textId="77777777" w:rsidR="00B95932" w:rsidRDefault="00B95932" w:rsidP="00B95932">
            <w:pPr>
              <w:pStyle w:val="ListParagraph"/>
              <w:numPr>
                <w:ilvl w:val="0"/>
                <w:numId w:val="11"/>
              </w:numPr>
              <w:tabs>
                <w:tab w:val="left" w:pos="459"/>
              </w:tabs>
              <w:jc w:val="both"/>
              <w:rPr>
                <w:rFonts w:eastAsia="Times New Roman" w:cs="Times New Roman"/>
                <w:bCs/>
                <w:iCs/>
                <w:szCs w:val="24"/>
                <w:lang w:eastAsia="lv-LV"/>
              </w:rPr>
            </w:pPr>
            <w:r>
              <w:rPr>
                <w:rFonts w:eastAsia="Times New Roman" w:cs="Times New Roman"/>
                <w:bCs/>
                <w:iCs/>
                <w:szCs w:val="24"/>
                <w:lang w:eastAsia="lv-LV"/>
              </w:rPr>
              <w:t>precīzāk noteikta pušu atbildība un gadījumi, kad risku par neparedzētiem darbiem uzņemas pasūtītājs un kad piegādātājs;</w:t>
            </w:r>
          </w:p>
          <w:p w14:paraId="2D29CF4E" w14:textId="77777777" w:rsidR="00B95932" w:rsidRDefault="00B95932" w:rsidP="00B95932">
            <w:pPr>
              <w:pStyle w:val="ListParagraph"/>
              <w:numPr>
                <w:ilvl w:val="0"/>
                <w:numId w:val="11"/>
              </w:numPr>
              <w:tabs>
                <w:tab w:val="left" w:pos="459"/>
              </w:tabs>
              <w:jc w:val="both"/>
              <w:rPr>
                <w:rFonts w:eastAsia="Times New Roman" w:cs="Times New Roman"/>
                <w:bCs/>
                <w:iCs/>
                <w:szCs w:val="24"/>
                <w:lang w:eastAsia="lv-LV"/>
              </w:rPr>
            </w:pPr>
            <w:r>
              <w:rPr>
                <w:rFonts w:eastAsia="Times New Roman" w:cs="Times New Roman"/>
                <w:bCs/>
                <w:iCs/>
                <w:szCs w:val="24"/>
                <w:lang w:eastAsia="lv-LV"/>
              </w:rPr>
              <w:t>ir paplašināti līgumcenas veidi, ietverot līgumus ar mainīgās cenas komponenti;</w:t>
            </w:r>
          </w:p>
          <w:p w14:paraId="2D29CF4F" w14:textId="77777777" w:rsidR="00B95932" w:rsidRDefault="00B95932" w:rsidP="00B95932">
            <w:pPr>
              <w:pStyle w:val="ListParagraph"/>
              <w:numPr>
                <w:ilvl w:val="0"/>
                <w:numId w:val="11"/>
              </w:numPr>
              <w:tabs>
                <w:tab w:val="left" w:pos="459"/>
              </w:tabs>
              <w:jc w:val="both"/>
              <w:rPr>
                <w:rFonts w:eastAsia="Times New Roman" w:cs="Times New Roman"/>
                <w:bCs/>
                <w:iCs/>
                <w:szCs w:val="24"/>
                <w:lang w:eastAsia="lv-LV"/>
              </w:rPr>
            </w:pPr>
            <w:r>
              <w:rPr>
                <w:rFonts w:eastAsia="Times New Roman" w:cs="Times New Roman"/>
                <w:bCs/>
                <w:iCs/>
                <w:szCs w:val="24"/>
                <w:lang w:eastAsia="lv-LV"/>
              </w:rPr>
              <w:t>ir noteikti elastīgāki nosacījumi attiecībā uz līgumcenas indeksēšanas iespējām;</w:t>
            </w:r>
          </w:p>
          <w:p w14:paraId="2D29CF50" w14:textId="46D2EDF9" w:rsidR="00B95932" w:rsidRDefault="00B95932" w:rsidP="00B95932">
            <w:pPr>
              <w:pStyle w:val="ListParagraph"/>
              <w:numPr>
                <w:ilvl w:val="0"/>
                <w:numId w:val="11"/>
              </w:numPr>
              <w:tabs>
                <w:tab w:val="left" w:pos="459"/>
              </w:tabs>
              <w:jc w:val="both"/>
              <w:rPr>
                <w:rFonts w:eastAsia="Times New Roman" w:cs="Times New Roman"/>
                <w:bCs/>
                <w:iCs/>
                <w:szCs w:val="24"/>
                <w:lang w:eastAsia="lv-LV"/>
              </w:rPr>
            </w:pPr>
            <w:r>
              <w:rPr>
                <w:rFonts w:eastAsia="Times New Roman" w:cs="Times New Roman"/>
                <w:bCs/>
                <w:iCs/>
                <w:szCs w:val="24"/>
                <w:lang w:eastAsia="lv-LV"/>
              </w:rPr>
              <w:t>tiek pieļauti avansa maksājumi līdz 20</w:t>
            </w:r>
            <w:r w:rsidR="00575E6C">
              <w:rPr>
                <w:rFonts w:eastAsia="Times New Roman" w:cs="Times New Roman"/>
                <w:bCs/>
                <w:iCs/>
                <w:szCs w:val="24"/>
                <w:lang w:eastAsia="lv-LV"/>
              </w:rPr>
              <w:t> </w:t>
            </w:r>
            <w:r>
              <w:rPr>
                <w:rFonts w:eastAsia="Times New Roman" w:cs="Times New Roman"/>
                <w:bCs/>
                <w:iCs/>
                <w:szCs w:val="24"/>
                <w:lang w:eastAsia="lv-LV"/>
              </w:rPr>
              <w:t xml:space="preserve">% no līgumcenas visu veidu līgumos, nevis tikai tādos, kur </w:t>
            </w:r>
            <w:r w:rsidRPr="007F0214">
              <w:rPr>
                <w:rFonts w:eastAsia="Times New Roman" w:cs="Times New Roman"/>
                <w:bCs/>
                <w:iCs/>
                <w:szCs w:val="24"/>
                <w:lang w:eastAsia="lv-LV"/>
              </w:rPr>
              <w:t>līguma izpildes uzsākšanai nepieciešami ievērojami paša piegādātāja sākotnējie ieguldījumi</w:t>
            </w:r>
            <w:r>
              <w:rPr>
                <w:rFonts w:eastAsia="Times New Roman" w:cs="Times New Roman"/>
                <w:bCs/>
                <w:iCs/>
                <w:szCs w:val="24"/>
                <w:lang w:eastAsia="lv-LV"/>
              </w:rPr>
              <w:t>, kas arī reizē būtu īpaši jāpamato;</w:t>
            </w:r>
          </w:p>
          <w:p w14:paraId="2D29CF51" w14:textId="1839343B" w:rsidR="00B95932" w:rsidRDefault="00B95932" w:rsidP="00B95932">
            <w:pPr>
              <w:pStyle w:val="ListParagraph"/>
              <w:numPr>
                <w:ilvl w:val="0"/>
                <w:numId w:val="11"/>
              </w:numPr>
              <w:tabs>
                <w:tab w:val="left" w:pos="459"/>
              </w:tabs>
              <w:jc w:val="both"/>
              <w:rPr>
                <w:rFonts w:eastAsia="Times New Roman" w:cs="Times New Roman"/>
                <w:bCs/>
                <w:iCs/>
                <w:szCs w:val="24"/>
                <w:lang w:eastAsia="lv-LV"/>
              </w:rPr>
            </w:pPr>
            <w:r>
              <w:rPr>
                <w:rFonts w:eastAsia="Times New Roman" w:cs="Times New Roman"/>
                <w:bCs/>
                <w:iCs/>
                <w:szCs w:val="24"/>
                <w:lang w:eastAsia="lv-LV"/>
              </w:rPr>
              <w:t>tiek līdzsvarotas pušu tiesības, nosakot izņēmuma gadījumu, kad piegādātājam avansa maksājums nav jāatmaksā pasūtītājam, t.</w:t>
            </w:r>
            <w:r w:rsidR="00575E6C">
              <w:rPr>
                <w:rFonts w:eastAsia="Times New Roman" w:cs="Times New Roman"/>
                <w:bCs/>
                <w:iCs/>
                <w:szCs w:val="24"/>
                <w:lang w:eastAsia="lv-LV"/>
              </w:rPr>
              <w:t xml:space="preserve"> </w:t>
            </w:r>
            <w:r>
              <w:rPr>
                <w:rFonts w:eastAsia="Times New Roman" w:cs="Times New Roman"/>
                <w:bCs/>
                <w:iCs/>
                <w:szCs w:val="24"/>
                <w:lang w:eastAsia="lv-LV"/>
              </w:rPr>
              <w:t>i. gadījumos</w:t>
            </w:r>
            <w:r w:rsidR="00575E6C">
              <w:rPr>
                <w:rFonts w:eastAsia="Times New Roman" w:cs="Times New Roman"/>
                <w:bCs/>
                <w:iCs/>
                <w:szCs w:val="24"/>
                <w:lang w:eastAsia="lv-LV"/>
              </w:rPr>
              <w:t>,</w:t>
            </w:r>
            <w:r>
              <w:rPr>
                <w:rFonts w:eastAsia="Times New Roman" w:cs="Times New Roman"/>
                <w:bCs/>
                <w:iCs/>
                <w:szCs w:val="24"/>
                <w:lang w:eastAsia="lv-LV"/>
              </w:rPr>
              <w:t xml:space="preserve"> </w:t>
            </w:r>
            <w:r w:rsidRPr="004917E1">
              <w:rPr>
                <w:rFonts w:eastAsia="Times New Roman" w:cs="Times New Roman"/>
                <w:bCs/>
                <w:iCs/>
                <w:szCs w:val="24"/>
                <w:lang w:eastAsia="lv-LV"/>
              </w:rPr>
              <w:t>kad līguma izpilde tiek apturēta vai izbeigta pasūtītāja vainas dēļ un vienlaikus piegādātājs līguma izpildes uzsākšanai ir veicis sākotnējos ieguldījumus, un avanss ir pilnībā vai daļēji sedzis ieguldījumu izmaksas, kuras piegādātājs spēj pamatot un pierādīt</w:t>
            </w:r>
            <w:r>
              <w:rPr>
                <w:rFonts w:eastAsia="Times New Roman" w:cs="Times New Roman"/>
                <w:bCs/>
                <w:iCs/>
                <w:szCs w:val="24"/>
                <w:lang w:eastAsia="lv-LV"/>
              </w:rPr>
              <w:t>;</w:t>
            </w:r>
          </w:p>
          <w:p w14:paraId="2D29CF52" w14:textId="77777777" w:rsidR="00B95932" w:rsidRDefault="00B95932" w:rsidP="00B95932">
            <w:pPr>
              <w:pStyle w:val="ListParagraph"/>
              <w:numPr>
                <w:ilvl w:val="0"/>
                <w:numId w:val="11"/>
              </w:numPr>
              <w:tabs>
                <w:tab w:val="left" w:pos="459"/>
              </w:tabs>
              <w:jc w:val="both"/>
              <w:rPr>
                <w:rFonts w:eastAsia="Times New Roman" w:cs="Times New Roman"/>
                <w:bCs/>
                <w:iCs/>
                <w:szCs w:val="24"/>
                <w:lang w:eastAsia="lv-LV"/>
              </w:rPr>
            </w:pPr>
            <w:r>
              <w:rPr>
                <w:rFonts w:eastAsia="Times New Roman" w:cs="Times New Roman"/>
                <w:bCs/>
                <w:iCs/>
                <w:szCs w:val="24"/>
                <w:lang w:eastAsia="lv-LV"/>
              </w:rPr>
              <w:t>regulējums tiek salāgots ar spēkā esošo Publisko iepirkumu likumu attiecībā uz prasībām pret apakšuzņēmējiem un citiem jautājumiem;</w:t>
            </w:r>
          </w:p>
          <w:p w14:paraId="2D29CF53" w14:textId="65956F35" w:rsidR="00B95932" w:rsidRDefault="00B95932" w:rsidP="00B95932">
            <w:pPr>
              <w:pStyle w:val="ListParagraph"/>
              <w:numPr>
                <w:ilvl w:val="0"/>
                <w:numId w:val="11"/>
              </w:numPr>
              <w:tabs>
                <w:tab w:val="left" w:pos="459"/>
              </w:tabs>
              <w:jc w:val="both"/>
              <w:rPr>
                <w:rFonts w:eastAsia="Times New Roman" w:cs="Times New Roman"/>
                <w:bCs/>
                <w:iCs/>
                <w:szCs w:val="24"/>
                <w:lang w:eastAsia="lv-LV"/>
              </w:rPr>
            </w:pPr>
            <w:r>
              <w:rPr>
                <w:rFonts w:eastAsia="Times New Roman" w:cs="Times New Roman"/>
                <w:bCs/>
                <w:iCs/>
                <w:szCs w:val="24"/>
                <w:lang w:eastAsia="lv-LV"/>
              </w:rPr>
              <w:t>tiek palielināts avansa summas slieksnis, virs kura līgumos obligāti ir jāiekļauj nodrošinājuma noteikumi un saistības</w:t>
            </w:r>
            <w:r w:rsidR="00575E6C">
              <w:rPr>
                <w:rFonts w:eastAsia="Times New Roman" w:cs="Times New Roman"/>
                <w:bCs/>
                <w:iCs/>
                <w:szCs w:val="24"/>
                <w:lang w:eastAsia="lv-LV"/>
              </w:rPr>
              <w:t>,</w:t>
            </w:r>
            <w:r>
              <w:rPr>
                <w:rFonts w:eastAsia="Times New Roman" w:cs="Times New Roman"/>
                <w:bCs/>
                <w:iCs/>
                <w:szCs w:val="24"/>
                <w:lang w:eastAsia="lv-LV"/>
              </w:rPr>
              <w:t xml:space="preserve"> tādējādi būtiski atslogojot administratīvās prasības mazajiem komersantiem un nevalstiskajām organizācijām kā piegādātājiem;</w:t>
            </w:r>
          </w:p>
          <w:p w14:paraId="2D29CF54" w14:textId="77777777" w:rsidR="00B95932" w:rsidRDefault="00B95932" w:rsidP="00B95932">
            <w:pPr>
              <w:pStyle w:val="ListParagraph"/>
              <w:numPr>
                <w:ilvl w:val="0"/>
                <w:numId w:val="11"/>
              </w:numPr>
              <w:tabs>
                <w:tab w:val="left" w:pos="459"/>
              </w:tabs>
              <w:jc w:val="both"/>
              <w:rPr>
                <w:rFonts w:eastAsia="Times New Roman" w:cs="Times New Roman"/>
                <w:bCs/>
                <w:iCs/>
                <w:szCs w:val="24"/>
                <w:lang w:eastAsia="lv-LV"/>
              </w:rPr>
            </w:pPr>
            <w:r>
              <w:rPr>
                <w:rFonts w:eastAsia="Times New Roman" w:cs="Times New Roman"/>
                <w:bCs/>
                <w:iCs/>
                <w:szCs w:val="24"/>
                <w:lang w:eastAsia="lv-LV"/>
              </w:rPr>
              <w:t>precizēti dažādu nodrošinājumu veidu un tiesiskās aizsardzības līdzekļu piemērošanas noteikumi;</w:t>
            </w:r>
          </w:p>
          <w:p w14:paraId="2D29CF55" w14:textId="77777777" w:rsidR="00B95932" w:rsidRPr="00B54EC6" w:rsidRDefault="00B95932" w:rsidP="00B95932">
            <w:pPr>
              <w:pStyle w:val="ListParagraph"/>
              <w:numPr>
                <w:ilvl w:val="0"/>
                <w:numId w:val="11"/>
              </w:numPr>
              <w:tabs>
                <w:tab w:val="left" w:pos="459"/>
              </w:tabs>
              <w:jc w:val="both"/>
              <w:rPr>
                <w:rFonts w:eastAsia="Times New Roman" w:cs="Times New Roman"/>
                <w:bCs/>
                <w:iCs/>
                <w:szCs w:val="24"/>
                <w:lang w:eastAsia="lv-LV"/>
              </w:rPr>
            </w:pPr>
            <w:r>
              <w:rPr>
                <w:rFonts w:eastAsia="Times New Roman" w:cs="Times New Roman"/>
                <w:bCs/>
                <w:iCs/>
                <w:szCs w:val="24"/>
                <w:lang w:eastAsia="lv-LV"/>
              </w:rPr>
              <w:t>ir veikti vairāki redakcionālie precizējumi, padarot tiesību normu piemērošanu nepārprotamāku.</w:t>
            </w:r>
          </w:p>
          <w:p w14:paraId="2D29CF56" w14:textId="6F0F2DEB" w:rsidR="006D782C" w:rsidRPr="001B2C33" w:rsidRDefault="00BD3686" w:rsidP="006D782C">
            <w:pPr>
              <w:tabs>
                <w:tab w:val="left" w:pos="459"/>
              </w:tabs>
              <w:jc w:val="both"/>
            </w:pPr>
            <w:r w:rsidRPr="001B2C33">
              <w:t>Ņemot vērā, ka Valsts sekretāru</w:t>
            </w:r>
            <w:r w:rsidR="00575E6C">
              <w:t xml:space="preserve"> </w:t>
            </w:r>
            <w:r w:rsidR="00575E6C" w:rsidRPr="001B2C33">
              <w:t>2015</w:t>
            </w:r>
            <w:r w:rsidR="00575E6C">
              <w:t>. g</w:t>
            </w:r>
            <w:r w:rsidR="00575E6C" w:rsidRPr="001B2C33">
              <w:t>ada 19</w:t>
            </w:r>
            <w:r w:rsidR="00575E6C">
              <w:t>. n</w:t>
            </w:r>
            <w:r w:rsidR="00575E6C" w:rsidRPr="001B2C33">
              <w:t>ovembra</w:t>
            </w:r>
            <w:r w:rsidRPr="001B2C33">
              <w:t xml:space="preserve"> sanāksmē (prot. Nr.45 6.§, VSS-1231) tika izsludināts likumprojekts </w:t>
            </w:r>
            <w:r w:rsidR="00CD169F">
              <w:t>"</w:t>
            </w:r>
            <w:r w:rsidRPr="001B2C33">
              <w:t>Publisko iepirkumu likums</w:t>
            </w:r>
            <w:r w:rsidR="00CD169F">
              <w:t>"</w:t>
            </w:r>
            <w:r w:rsidRPr="001B2C33">
              <w:t>, kura 9</w:t>
            </w:r>
            <w:r w:rsidR="00CD169F">
              <w:t>. p</w:t>
            </w:r>
            <w:r w:rsidRPr="001B2C33">
              <w:t>antā ir palielinātas robežvērtības</w:t>
            </w:r>
            <w:r w:rsidR="00575E6C">
              <w:t>,</w:t>
            </w:r>
            <w:r w:rsidRPr="001B2C33">
              <w:t xml:space="preserve"> līdz kurām likumprojekts nav jāpiemēro, publisku piegādes līgumu vai pakalpojumu līgumu gadījumā līdz 10 000 </w:t>
            </w:r>
            <w:proofErr w:type="spellStart"/>
            <w:r w:rsidRPr="00575E6C">
              <w:rPr>
                <w:i/>
              </w:rPr>
              <w:t>euro</w:t>
            </w:r>
            <w:proofErr w:type="spellEnd"/>
            <w:r w:rsidRPr="001B2C33">
              <w:t xml:space="preserve"> un publisku būvdarbu līgumu gadījumā līdz 20 000 </w:t>
            </w:r>
            <w:proofErr w:type="spellStart"/>
            <w:r w:rsidRPr="00575E6C">
              <w:rPr>
                <w:i/>
              </w:rPr>
              <w:t>euro</w:t>
            </w:r>
            <w:proofErr w:type="spellEnd"/>
            <w:r w:rsidRPr="001B2C33">
              <w:t xml:space="preserve"> ir iestrādātas arī attiecīgas izmaiņas instrukcijas projekta 2</w:t>
            </w:r>
            <w:r w:rsidR="00CD169F">
              <w:t>. p</w:t>
            </w:r>
            <w:r w:rsidRPr="001B2C33">
              <w:t xml:space="preserve">unktā, nodrošinot sākotnējo piesaisti likumprojektam. Šāda pieeja ir izvēlēta, lai novērstu instrukcijas atkārtotu grozījumu nepieciešamību pēc likumprojekta apstiprināšanas Saeimā. Ja likumprojekta gala redakcija tiks apstiprināta ar </w:t>
            </w:r>
            <w:r w:rsidRPr="001B2C33">
              <w:lastRenderedPageBreak/>
              <w:t>atšķirīgām līgumcenu robežvērtībām</w:t>
            </w:r>
            <w:r w:rsidR="0066582B" w:rsidRPr="001B2C33">
              <w:t>,</w:t>
            </w:r>
            <w:r w:rsidR="0066582B" w:rsidRPr="001B2C33">
              <w:rPr>
                <w:rFonts w:eastAsia="Times New Roman" w:cs="Times New Roman"/>
                <w:szCs w:val="24"/>
                <w:lang w:eastAsia="lv-LV"/>
              </w:rPr>
              <w:t xml:space="preserve"> </w:t>
            </w:r>
            <w:r w:rsidR="0066582B" w:rsidRPr="001B2C33">
              <w:t>tad instrukcijas projekta 2</w:t>
            </w:r>
            <w:r w:rsidR="00CD169F">
              <w:t>. p</w:t>
            </w:r>
            <w:r w:rsidR="0066582B" w:rsidRPr="001B2C33">
              <w:t>unkts paliks jaunajā redakcijā nemainīgs un būs uzskatāms, ka ar šo soli tiek mazināts administratīvais slogs finansiāli mazietilpīgo līgumu gadījumā.</w:t>
            </w:r>
            <w:r w:rsidRPr="001B2C33">
              <w:t xml:space="preserve"> </w:t>
            </w:r>
            <w:r w:rsidR="006D782C" w:rsidRPr="001B2C33">
              <w:t xml:space="preserve">Instrukcijas projekta </w:t>
            </w:r>
            <w:r w:rsidR="00837087" w:rsidRPr="001B2C33">
              <w:t>8</w:t>
            </w:r>
            <w:r w:rsidR="006D782C" w:rsidRPr="001B2C33">
              <w:t>.</w:t>
            </w:r>
            <w:r w:rsidR="00980AAF" w:rsidRPr="001B2C33">
              <w:t> </w:t>
            </w:r>
            <w:r w:rsidR="006D782C" w:rsidRPr="001B2C33">
              <w:t>punktā paredzēti izņēmumi, kad, slēdzot līgumus ar starptautiskām organizācijām, kuru dalībvalsts vai kandidātvalsts ir Latvija, vai arī ja piegādātājs vai pakalpojumu sniedzējs standartizētiem produktiem vai pakalpojumiem piedāvā vienādus līguma nosacījumus un tie ir publiski pieejami, ir tiesīgs izmantot šo organizāciju (piegādātāju) līgumu veidlapas, tostarp arī tādas, kas neatbilst šīs instrukcijas prasībām, ja vien tas nav pretrunā ar citiem pasūtītājam saistošiem normatīvajiem aktiem. Šajos gadījumos pasūtītājam ir pienākums nodrošināt līguma tulkojumu valsts valodā.</w:t>
            </w:r>
            <w:r w:rsidR="00775A23" w:rsidRPr="001B2C33">
              <w:t xml:space="preserve"> </w:t>
            </w:r>
            <w:r w:rsidR="00837087" w:rsidRPr="001B2C33">
              <w:t>8</w:t>
            </w:r>
            <w:r w:rsidR="00CD169F">
              <w:t>. p</w:t>
            </w:r>
            <w:r w:rsidR="00775A23" w:rsidRPr="001B2C33">
              <w:t xml:space="preserve">unkta normatīvais regulējums ir attiecināms gan uz vietējiem, gan </w:t>
            </w:r>
            <w:r w:rsidR="00496060" w:rsidRPr="001B2C33">
              <w:t>ārvalstu</w:t>
            </w:r>
            <w:r w:rsidR="00775A23" w:rsidRPr="001B2C33">
              <w:t xml:space="preserve"> piegādātājiem.</w:t>
            </w:r>
          </w:p>
          <w:p w14:paraId="2D29CF57" w14:textId="41A63CD3" w:rsidR="006D782C" w:rsidRPr="001B2C33" w:rsidRDefault="006D782C" w:rsidP="006D782C">
            <w:pPr>
              <w:tabs>
                <w:tab w:val="left" w:pos="459"/>
              </w:tabs>
              <w:jc w:val="both"/>
            </w:pPr>
            <w:r w:rsidRPr="001B2C33">
              <w:t>Standartizēta pakalpojuma piemērs ir dalība starptautiskās izstādēs ārvalstīs, kur līgums ir izstrādāts un slēdzams svešvalodā. Šādos gadījumos sava līguma redakcijas piedāvāšana nav iespējama, jo ir standartizēti izstāžu rīkotāju izstrādātie izstāžu noteikumi. Tāpat pie standartizētiem pakalpojumiem vai produktiem pieskaitā</w:t>
            </w:r>
            <w:r w:rsidR="00575E6C">
              <w:t>mi starptautisku preču ražotāju/</w:t>
            </w:r>
            <w:r w:rsidRPr="001B2C33">
              <w:t xml:space="preserve">pakalpojumu sniedzēju (piem., informācijas sistēmu garantijas uzturēšana) vai standarta IT produkti – programmatūra, kuriem ir tipveida (standartizēti) līgumi (licences), kas parasti </w:t>
            </w:r>
            <w:r w:rsidR="00C51929" w:rsidRPr="001B2C33">
              <w:t xml:space="preserve">ir </w:t>
            </w:r>
            <w:r w:rsidRPr="001B2C33">
              <w:t>angļu valodā vai citā svešvalodā. Minētajos gadījumos šo līguma (licenču) tekstam ir jābūt publiski pieejam</w:t>
            </w:r>
            <w:r w:rsidR="000E6764" w:rsidRPr="001B2C33">
              <w:t>am</w:t>
            </w:r>
            <w:r w:rsidRPr="001B2C33">
              <w:t xml:space="preserve"> (piem., tiešsaistē) visiem pasūtītājiem un visiem pasūtītājiem tiek piedāvāti vienādi un nemainīgi līguma nosacījumi.</w:t>
            </w:r>
          </w:p>
          <w:p w14:paraId="2D29CF58" w14:textId="77777777" w:rsidR="006D782C" w:rsidRPr="001B2C33" w:rsidRDefault="00837087" w:rsidP="006D782C">
            <w:pPr>
              <w:tabs>
                <w:tab w:val="left" w:pos="459"/>
              </w:tabs>
              <w:jc w:val="both"/>
            </w:pPr>
            <w:r w:rsidRPr="001B2C33">
              <w:t>8</w:t>
            </w:r>
            <w:r w:rsidR="006D782C" w:rsidRPr="001B2C33">
              <w:t xml:space="preserve">. punkta izpratnē </w:t>
            </w:r>
            <w:r w:rsidR="00A446A7" w:rsidRPr="001B2C33">
              <w:t xml:space="preserve">līguma nosacījumu publiskā pieejamība nozīmē </w:t>
            </w:r>
            <w:r w:rsidR="006D782C" w:rsidRPr="001B2C33">
              <w:t>to, ka līguma nosacījumi ir nemainīgi un vienādi visiem potenciālajiem pasūtītājiem.</w:t>
            </w:r>
          </w:p>
          <w:p w14:paraId="2D29CF59" w14:textId="023199E0" w:rsidR="0004100D" w:rsidRPr="001B2C33" w:rsidRDefault="0004100D" w:rsidP="006D782C">
            <w:pPr>
              <w:tabs>
                <w:tab w:val="left" w:pos="459"/>
              </w:tabs>
              <w:jc w:val="both"/>
            </w:pPr>
            <w:r w:rsidRPr="001B2C33">
              <w:t xml:space="preserve">Instrukcijas projekta </w:t>
            </w:r>
            <w:r w:rsidR="00837087" w:rsidRPr="001B2C33">
              <w:t>48</w:t>
            </w:r>
            <w:r w:rsidR="00CD169F">
              <w:t>. p</w:t>
            </w:r>
            <w:r w:rsidRPr="001B2C33">
              <w:t>unkts ir attiecināms arī</w:t>
            </w:r>
            <w:r w:rsidR="00B37889">
              <w:t xml:space="preserve"> uz</w:t>
            </w:r>
            <w:r w:rsidRPr="001B2C33">
              <w:t xml:space="preserve"> </w:t>
            </w:r>
            <w:proofErr w:type="spellStart"/>
            <w:r w:rsidRPr="001B2C33">
              <w:t>mākoņskaitļošanas</w:t>
            </w:r>
            <w:proofErr w:type="spellEnd"/>
            <w:r w:rsidRPr="001B2C33">
              <w:t xml:space="preserve"> pakalpojumu līgumiem un nozīmē, ka šim pakalpojumu veidam pasūtītājs var slēgt mainīgās cenas līgumu vai līgumu ar mainīgās cenas komponenti. </w:t>
            </w:r>
            <w:r w:rsidR="00B37889">
              <w:t>Tas nozīmē, ka p</w:t>
            </w:r>
            <w:r w:rsidR="00B37889" w:rsidRPr="00B37889">
              <w:t>akalpojumu līgumos</w:t>
            </w:r>
            <w:r w:rsidR="00B37889">
              <w:t>, t</w:t>
            </w:r>
            <w:r w:rsidR="00CD169F">
              <w:t>. s</w:t>
            </w:r>
            <w:r w:rsidR="00B37889">
              <w:t xml:space="preserve">k. </w:t>
            </w:r>
            <w:proofErr w:type="spellStart"/>
            <w:r w:rsidR="00B37889" w:rsidRPr="001B2C33">
              <w:t>mākoņs</w:t>
            </w:r>
            <w:r w:rsidR="00B37889">
              <w:t>kaitļošanas</w:t>
            </w:r>
            <w:proofErr w:type="spellEnd"/>
            <w:r w:rsidR="00B37889">
              <w:t xml:space="preserve"> pakalpojumu līgumos</w:t>
            </w:r>
            <w:r w:rsidR="00575E6C">
              <w:t>,</w:t>
            </w:r>
            <w:r w:rsidR="00B37889" w:rsidRPr="00B37889">
              <w:t xml:space="preserve"> atļauts ietvert jauktu līguma cenu, kas sastāv no dažādām 4</w:t>
            </w:r>
            <w:r w:rsidR="00B37889">
              <w:t>6</w:t>
            </w:r>
            <w:r w:rsidR="00B37889" w:rsidRPr="00B37889">
              <w:t>.</w:t>
            </w:r>
            <w:r w:rsidR="00575E6C">
              <w:t>–</w:t>
            </w:r>
            <w:r w:rsidR="00B37889">
              <w:t>48</w:t>
            </w:r>
            <w:r w:rsidR="00CD169F">
              <w:t>. p</w:t>
            </w:r>
            <w:r w:rsidR="00B37889" w:rsidRPr="00B37889">
              <w:t>unktā norādītajām līguma cenas komponentēm, piemēram, gabaldarba samaksas par vienu līguma priekšmeta daļu un mainīgas cenas samaks</w:t>
            </w:r>
            <w:r w:rsidR="00B37889">
              <w:t>as</w:t>
            </w:r>
            <w:r w:rsidR="00B37889" w:rsidRPr="00B37889">
              <w:t xml:space="preserve"> par citu līguma priekšmeta daļu.</w:t>
            </w:r>
            <w:r w:rsidR="00B37889">
              <w:t xml:space="preserve"> </w:t>
            </w:r>
            <w:proofErr w:type="spellStart"/>
            <w:r w:rsidRPr="001B2C33">
              <w:t>Mākoņskaitļošanas</w:t>
            </w:r>
            <w:proofErr w:type="spellEnd"/>
            <w:r w:rsidRPr="001B2C33">
              <w:t xml:space="preserve"> pakalpojumu  līgumos </w:t>
            </w:r>
            <w:r w:rsidR="00B37889">
              <w:t xml:space="preserve">tas varētu izpausties, ka </w:t>
            </w:r>
            <w:r w:rsidRPr="001B2C33">
              <w:t xml:space="preserve">par atsevišķām līguma priekšmeta daļām var tikt noteiktas dažāda veida līguma cenas, piemēram, fiksēta summa par </w:t>
            </w:r>
            <w:proofErr w:type="spellStart"/>
            <w:r w:rsidR="00164B2A" w:rsidRPr="001B2C33">
              <w:t>mākoņskaitļošanas</w:t>
            </w:r>
            <w:proofErr w:type="spellEnd"/>
            <w:r w:rsidR="00164B2A" w:rsidRPr="001B2C33">
              <w:t xml:space="preserve"> </w:t>
            </w:r>
            <w:r w:rsidRPr="001B2C33">
              <w:t>risinājuma izstrādi un mainīgā cena</w:t>
            </w:r>
            <w:r w:rsidR="00164B2A" w:rsidRPr="001B2C33">
              <w:t>,</w:t>
            </w:r>
            <w:r w:rsidRPr="001B2C33">
              <w:t xml:space="preserve"> kas balstīta uz</w:t>
            </w:r>
            <w:r w:rsidR="00164B2A" w:rsidRPr="001B2C33">
              <w:t>,</w:t>
            </w:r>
            <w:r w:rsidRPr="001B2C33">
              <w:t xml:space="preserve"> piemēram, viena noglabātā terabaita maksu par </w:t>
            </w:r>
            <w:proofErr w:type="spellStart"/>
            <w:r w:rsidRPr="001B2C33">
              <w:t>mākoņservisiem</w:t>
            </w:r>
            <w:proofErr w:type="spellEnd"/>
            <w:r w:rsidRPr="001B2C33">
              <w:t xml:space="preserve"> un atbalsta </w:t>
            </w:r>
            <w:r w:rsidRPr="001B2C33">
              <w:lastRenderedPageBreak/>
              <w:t>pakalpojumiem.</w:t>
            </w:r>
          </w:p>
          <w:p w14:paraId="2D29CF5A" w14:textId="7412B04D" w:rsidR="00533B1D" w:rsidRPr="001B2C33" w:rsidRDefault="00051981" w:rsidP="006D782C">
            <w:pPr>
              <w:tabs>
                <w:tab w:val="left" w:pos="459"/>
              </w:tabs>
              <w:jc w:val="both"/>
              <w:rPr>
                <w:rFonts w:eastAsia="Times New Roman" w:cs="Times New Roman"/>
                <w:bCs/>
                <w:iCs/>
                <w:szCs w:val="24"/>
                <w:lang w:eastAsia="lv-LV"/>
              </w:rPr>
            </w:pPr>
            <w:r w:rsidRPr="001B2C33">
              <w:rPr>
                <w:rFonts w:eastAsia="Times New Roman" w:cs="Times New Roman"/>
                <w:bCs/>
                <w:iCs/>
                <w:szCs w:val="24"/>
                <w:lang w:eastAsia="lv-LV"/>
              </w:rPr>
              <w:t xml:space="preserve">Ņemot vērā, </w:t>
            </w:r>
            <w:r w:rsidR="00435D73" w:rsidRPr="001B2C33">
              <w:rPr>
                <w:rFonts w:eastAsia="Times New Roman" w:cs="Times New Roman"/>
                <w:bCs/>
                <w:iCs/>
                <w:szCs w:val="24"/>
                <w:lang w:eastAsia="lv-LV"/>
              </w:rPr>
              <w:t>ka sociālo pakalpojumu nodrošināšanas jomā visbiežāk izpildītāji ir nevalstiskās organizācijas, kas nav saimnieciskās darbības veicēji un kuru rīcībā nav brīvu saimniecisko līdzekļu, kā rezultātā š</w:t>
            </w:r>
            <w:r w:rsidR="00575E6C">
              <w:rPr>
                <w:rFonts w:eastAsia="Times New Roman" w:cs="Times New Roman"/>
                <w:bCs/>
                <w:iCs/>
                <w:szCs w:val="24"/>
                <w:lang w:eastAsia="lv-LV"/>
              </w:rPr>
              <w:t>ī</w:t>
            </w:r>
            <w:r w:rsidR="00435D73" w:rsidRPr="001B2C33">
              <w:rPr>
                <w:rFonts w:eastAsia="Times New Roman" w:cs="Times New Roman"/>
                <w:bCs/>
                <w:iCs/>
                <w:szCs w:val="24"/>
                <w:lang w:eastAsia="lv-LV"/>
              </w:rPr>
              <w:t>m organizācijām var būt apgrūtinoši izpildīt instrukcijas projekta 2.9</w:t>
            </w:r>
            <w:r w:rsidR="00CD169F">
              <w:rPr>
                <w:rFonts w:eastAsia="Times New Roman" w:cs="Times New Roman"/>
                <w:bCs/>
                <w:iCs/>
                <w:szCs w:val="24"/>
                <w:lang w:eastAsia="lv-LV"/>
              </w:rPr>
              <w:t>. s</w:t>
            </w:r>
            <w:r w:rsidR="00435D73" w:rsidRPr="001B2C33">
              <w:rPr>
                <w:rFonts w:eastAsia="Times New Roman" w:cs="Times New Roman"/>
                <w:bCs/>
                <w:iCs/>
                <w:szCs w:val="24"/>
                <w:lang w:eastAsia="lv-LV"/>
              </w:rPr>
              <w:t xml:space="preserve">adaļas </w:t>
            </w:r>
            <w:r w:rsidR="00CD169F">
              <w:rPr>
                <w:rFonts w:eastAsia="Times New Roman" w:cs="Times New Roman"/>
                <w:bCs/>
                <w:iCs/>
                <w:szCs w:val="24"/>
                <w:lang w:eastAsia="lv-LV"/>
              </w:rPr>
              <w:t>"</w:t>
            </w:r>
            <w:r w:rsidR="00435D73" w:rsidRPr="001B2C33">
              <w:rPr>
                <w:rFonts w:eastAsia="Times New Roman" w:cs="Times New Roman"/>
                <w:bCs/>
                <w:iCs/>
                <w:szCs w:val="24"/>
                <w:lang w:eastAsia="lv-LV"/>
              </w:rPr>
              <w:t>Nodrošinājums</w:t>
            </w:r>
            <w:r w:rsidR="00CD169F">
              <w:rPr>
                <w:rFonts w:eastAsia="Times New Roman" w:cs="Times New Roman"/>
                <w:bCs/>
                <w:iCs/>
                <w:szCs w:val="24"/>
                <w:lang w:eastAsia="lv-LV"/>
              </w:rPr>
              <w:t>"</w:t>
            </w:r>
            <w:r w:rsidR="00435D73" w:rsidRPr="001B2C33">
              <w:rPr>
                <w:rFonts w:eastAsia="Times New Roman" w:cs="Times New Roman"/>
                <w:bCs/>
                <w:iCs/>
                <w:szCs w:val="24"/>
                <w:lang w:eastAsia="lv-LV"/>
              </w:rPr>
              <w:t xml:space="preserve"> nosacījumus, jo īpaši instrukcijas projekta </w:t>
            </w:r>
            <w:r w:rsidR="00837087" w:rsidRPr="001B2C33">
              <w:rPr>
                <w:rFonts w:eastAsia="Times New Roman" w:cs="Times New Roman"/>
                <w:bCs/>
                <w:iCs/>
                <w:szCs w:val="24"/>
                <w:lang w:eastAsia="lv-LV"/>
              </w:rPr>
              <w:t>96</w:t>
            </w:r>
            <w:r w:rsidR="00435D73" w:rsidRPr="001B2C33">
              <w:rPr>
                <w:rFonts w:eastAsia="Times New Roman" w:cs="Times New Roman"/>
                <w:bCs/>
                <w:iCs/>
                <w:szCs w:val="24"/>
                <w:lang w:eastAsia="lv-LV"/>
              </w:rPr>
              <w:t>.1</w:t>
            </w:r>
            <w:r w:rsidR="00CD169F">
              <w:rPr>
                <w:rFonts w:eastAsia="Times New Roman" w:cs="Times New Roman"/>
                <w:bCs/>
                <w:iCs/>
                <w:szCs w:val="24"/>
                <w:lang w:eastAsia="lv-LV"/>
              </w:rPr>
              <w:t>. a</w:t>
            </w:r>
            <w:r w:rsidR="00435D73" w:rsidRPr="001B2C33">
              <w:rPr>
                <w:rFonts w:eastAsia="Times New Roman" w:cs="Times New Roman"/>
                <w:bCs/>
                <w:iCs/>
                <w:szCs w:val="24"/>
                <w:lang w:eastAsia="lv-LV"/>
              </w:rPr>
              <w:t xml:space="preserve">pakšpunktā minēto, kā arī, ņemot vērā apstākli, ka atšķirīgu prasību noteikšana piegādātājiem atkarībā no juridiskā statusa radītu nosacījumus, kas ir pretrunā ar Eiropas Parlamenta un Padomes </w:t>
            </w:r>
            <w:r w:rsidR="00575E6C" w:rsidRPr="001B2C33">
              <w:rPr>
                <w:rFonts w:eastAsia="Times New Roman" w:cs="Times New Roman"/>
                <w:bCs/>
                <w:iCs/>
                <w:szCs w:val="24"/>
                <w:lang w:eastAsia="lv-LV"/>
              </w:rPr>
              <w:t xml:space="preserve">2014. gada </w:t>
            </w:r>
            <w:r w:rsidR="00575E6C">
              <w:rPr>
                <w:rFonts w:eastAsia="Times New Roman" w:cs="Times New Roman"/>
                <w:bCs/>
                <w:iCs/>
                <w:szCs w:val="24"/>
                <w:lang w:eastAsia="lv-LV"/>
              </w:rPr>
              <w:br/>
            </w:r>
            <w:r w:rsidR="00575E6C" w:rsidRPr="001B2C33">
              <w:rPr>
                <w:rFonts w:eastAsia="Times New Roman" w:cs="Times New Roman"/>
                <w:bCs/>
                <w:iCs/>
                <w:szCs w:val="24"/>
                <w:lang w:eastAsia="lv-LV"/>
              </w:rPr>
              <w:t xml:space="preserve">26. februāra </w:t>
            </w:r>
            <w:r w:rsidR="00435D73" w:rsidRPr="001B2C33">
              <w:rPr>
                <w:rFonts w:eastAsia="Times New Roman" w:cs="Times New Roman"/>
                <w:bCs/>
                <w:iCs/>
                <w:szCs w:val="24"/>
                <w:lang w:eastAsia="lv-LV"/>
              </w:rPr>
              <w:t xml:space="preserve">Direktīvas 2014/24/ES par publisko iepirkumu 18. pantu, kas nosaka, ka līgumslēdzējas iestādes nodrošina vienlīdzīgu un nediskriminējošu attieksmi pret visiem ekonomikas dalībniekiem, </w:t>
            </w:r>
            <w:r w:rsidRPr="001B2C33">
              <w:rPr>
                <w:rFonts w:eastAsia="Times New Roman" w:cs="Times New Roman"/>
                <w:bCs/>
                <w:iCs/>
                <w:szCs w:val="24"/>
                <w:lang w:eastAsia="lv-LV"/>
              </w:rPr>
              <w:t xml:space="preserve">avansa summa no 14 000 </w:t>
            </w:r>
            <w:proofErr w:type="spellStart"/>
            <w:r w:rsidRPr="00575E6C">
              <w:rPr>
                <w:rFonts w:eastAsia="Times New Roman" w:cs="Times New Roman"/>
                <w:bCs/>
                <w:i/>
                <w:iCs/>
                <w:szCs w:val="24"/>
                <w:lang w:eastAsia="lv-LV"/>
              </w:rPr>
              <w:t>euro</w:t>
            </w:r>
            <w:proofErr w:type="spellEnd"/>
            <w:r w:rsidRPr="001B2C33">
              <w:rPr>
                <w:rFonts w:eastAsia="Times New Roman" w:cs="Times New Roman"/>
                <w:bCs/>
                <w:iCs/>
                <w:szCs w:val="24"/>
                <w:lang w:eastAsia="lv-LV"/>
              </w:rPr>
              <w:t xml:space="preserve"> (</w:t>
            </w:r>
            <w:r w:rsidRPr="001B2C33">
              <w:rPr>
                <w:rFonts w:eastAsia="Times New Roman" w:cs="Times New Roman"/>
                <w:spacing w:val="-2"/>
                <w:szCs w:val="24"/>
                <w:lang w:eastAsia="lv-LV"/>
              </w:rPr>
              <w:t xml:space="preserve">Ministru kabineta 2013. gada 2. jūlija instrukcijas Nr. 7 </w:t>
            </w:r>
            <w:r w:rsidR="00CD169F">
              <w:rPr>
                <w:rFonts w:eastAsia="Times New Roman" w:cs="Times New Roman"/>
                <w:spacing w:val="-2"/>
                <w:szCs w:val="24"/>
                <w:lang w:eastAsia="lv-LV"/>
              </w:rPr>
              <w:t>"</w:t>
            </w:r>
            <w:r w:rsidRPr="001B2C33">
              <w:rPr>
                <w:rFonts w:eastAsia="Times New Roman" w:cs="Times New Roman"/>
                <w:spacing w:val="-2"/>
                <w:szCs w:val="24"/>
                <w:lang w:eastAsia="lv-LV"/>
              </w:rPr>
              <w:t>Ārvalstu finanšu instrumentu finansētu civiltiesisku līgumu izstrādes un slēgšanas instrukcija valsts tiešās pārvaldes iestādēs</w:t>
            </w:r>
            <w:r w:rsidR="00CD169F">
              <w:rPr>
                <w:rFonts w:eastAsia="Times New Roman" w:cs="Times New Roman"/>
                <w:spacing w:val="-2"/>
                <w:szCs w:val="24"/>
                <w:lang w:eastAsia="lv-LV"/>
              </w:rPr>
              <w:t>"</w:t>
            </w:r>
            <w:r w:rsidR="00435D73" w:rsidRPr="001B2C33">
              <w:rPr>
                <w:rFonts w:eastAsia="Times New Roman" w:cs="Times New Roman"/>
                <w:spacing w:val="-2"/>
                <w:szCs w:val="24"/>
                <w:lang w:eastAsia="lv-LV"/>
              </w:rPr>
              <w:t xml:space="preserve"> </w:t>
            </w:r>
            <w:r w:rsidRPr="001B2C33">
              <w:rPr>
                <w:rFonts w:eastAsia="Times New Roman" w:cs="Times New Roman"/>
                <w:spacing w:val="-2"/>
                <w:szCs w:val="24"/>
                <w:lang w:eastAsia="lv-LV"/>
              </w:rPr>
              <w:t>redakcijā</w:t>
            </w:r>
            <w:r w:rsidRPr="001B2C33">
              <w:rPr>
                <w:rFonts w:eastAsia="Times New Roman" w:cs="Times New Roman"/>
                <w:bCs/>
                <w:iCs/>
                <w:szCs w:val="24"/>
                <w:lang w:eastAsia="lv-LV"/>
              </w:rPr>
              <w:t xml:space="preserve">) ir palielināta līdz 30 000 </w:t>
            </w:r>
            <w:proofErr w:type="spellStart"/>
            <w:r w:rsidRPr="00575E6C">
              <w:rPr>
                <w:rFonts w:eastAsia="Times New Roman" w:cs="Times New Roman"/>
                <w:bCs/>
                <w:i/>
                <w:iCs/>
                <w:szCs w:val="24"/>
                <w:lang w:eastAsia="lv-LV"/>
              </w:rPr>
              <w:t>euro</w:t>
            </w:r>
            <w:proofErr w:type="spellEnd"/>
            <w:r w:rsidRPr="001B2C33">
              <w:rPr>
                <w:rFonts w:eastAsia="Times New Roman" w:cs="Times New Roman"/>
                <w:bCs/>
                <w:iCs/>
                <w:szCs w:val="24"/>
                <w:lang w:eastAsia="lv-LV"/>
              </w:rPr>
              <w:t>.</w:t>
            </w:r>
            <w:r w:rsidRPr="001B2C33">
              <w:rPr>
                <w:rFonts w:eastAsia="Times New Roman" w:cs="Times New Roman"/>
                <w:spacing w:val="-2"/>
                <w:szCs w:val="24"/>
                <w:lang w:eastAsia="lv-LV"/>
              </w:rPr>
              <w:t xml:space="preserve"> </w:t>
            </w:r>
            <w:r w:rsidR="00435D73" w:rsidRPr="001B2C33">
              <w:rPr>
                <w:rFonts w:eastAsia="Times New Roman" w:cs="Times New Roman"/>
                <w:spacing w:val="-2"/>
                <w:szCs w:val="24"/>
                <w:lang w:eastAsia="lv-LV"/>
              </w:rPr>
              <w:t>Š</w:t>
            </w:r>
            <w:r w:rsidRPr="001B2C33">
              <w:rPr>
                <w:rFonts w:eastAsia="Times New Roman" w:cs="Times New Roman"/>
                <w:spacing w:val="-2"/>
                <w:szCs w:val="24"/>
                <w:lang w:eastAsia="lv-LV"/>
              </w:rPr>
              <w:t>is apjoms raksturo riska vērtību</w:t>
            </w:r>
            <w:r w:rsidR="00575E6C">
              <w:rPr>
                <w:rFonts w:eastAsia="Times New Roman" w:cs="Times New Roman"/>
                <w:spacing w:val="-2"/>
                <w:szCs w:val="24"/>
                <w:lang w:eastAsia="lv-LV"/>
              </w:rPr>
              <w:t>,</w:t>
            </w:r>
            <w:r w:rsidRPr="001B2C33">
              <w:rPr>
                <w:rFonts w:eastAsia="Times New Roman" w:cs="Times New Roman"/>
                <w:spacing w:val="-2"/>
                <w:szCs w:val="24"/>
                <w:lang w:eastAsia="lv-LV"/>
              </w:rPr>
              <w:t xml:space="preserve"> ar ko valsts budžets un valsts tiešās pārvaldes iestādes ir gatavas riskēt, piešķirot avansu piegādātājam un neprasot pretim nodrošinājumu, tātad summa, kas potenciāli varētu arī tikt zaudēta vai uz piedziņas laiku </w:t>
            </w:r>
            <w:r w:rsidR="00CD169F">
              <w:rPr>
                <w:rFonts w:eastAsia="Times New Roman" w:cs="Times New Roman"/>
                <w:spacing w:val="-2"/>
                <w:szCs w:val="24"/>
                <w:lang w:eastAsia="lv-LV"/>
              </w:rPr>
              <w:t>"</w:t>
            </w:r>
            <w:r w:rsidRPr="001B2C33">
              <w:rPr>
                <w:rFonts w:eastAsia="Times New Roman" w:cs="Times New Roman"/>
                <w:spacing w:val="-2"/>
                <w:szCs w:val="24"/>
                <w:lang w:eastAsia="lv-LV"/>
              </w:rPr>
              <w:t>iesaldēta</w:t>
            </w:r>
            <w:r w:rsidR="00CD169F">
              <w:rPr>
                <w:rFonts w:eastAsia="Times New Roman" w:cs="Times New Roman"/>
                <w:spacing w:val="-2"/>
                <w:szCs w:val="24"/>
                <w:lang w:eastAsia="lv-LV"/>
              </w:rPr>
              <w:t>"</w:t>
            </w:r>
            <w:r w:rsidRPr="001B2C33">
              <w:rPr>
                <w:rFonts w:eastAsia="Times New Roman" w:cs="Times New Roman"/>
                <w:spacing w:val="-2"/>
                <w:szCs w:val="24"/>
                <w:lang w:eastAsia="lv-LV"/>
              </w:rPr>
              <w:t xml:space="preserve"> negodprātīgu piegādātāju rīcības rezultātā vai nekvalitatīva līguma izpildes gadījumā. Ja pieņem, ka avansa maksājums sastāda 20</w:t>
            </w:r>
            <w:r w:rsidR="00575E6C">
              <w:rPr>
                <w:rFonts w:eastAsia="Times New Roman" w:cs="Times New Roman"/>
                <w:spacing w:val="-2"/>
                <w:szCs w:val="24"/>
                <w:lang w:eastAsia="lv-LV"/>
              </w:rPr>
              <w:t> </w:t>
            </w:r>
            <w:r w:rsidRPr="001B2C33">
              <w:rPr>
                <w:rFonts w:eastAsia="Times New Roman" w:cs="Times New Roman"/>
                <w:spacing w:val="-2"/>
                <w:szCs w:val="24"/>
                <w:lang w:eastAsia="lv-LV"/>
              </w:rPr>
              <w:t xml:space="preserve">% no līgumcenas, tad 30 000 </w:t>
            </w:r>
            <w:proofErr w:type="spellStart"/>
            <w:r w:rsidRPr="00575E6C">
              <w:rPr>
                <w:rFonts w:eastAsia="Times New Roman" w:cs="Times New Roman"/>
                <w:i/>
                <w:spacing w:val="-2"/>
                <w:szCs w:val="24"/>
                <w:lang w:eastAsia="lv-LV"/>
              </w:rPr>
              <w:t>euro</w:t>
            </w:r>
            <w:proofErr w:type="spellEnd"/>
            <w:r w:rsidRPr="001B2C33">
              <w:rPr>
                <w:rFonts w:eastAsia="Times New Roman" w:cs="Times New Roman"/>
                <w:spacing w:val="-2"/>
                <w:szCs w:val="24"/>
                <w:lang w:eastAsia="lv-LV"/>
              </w:rPr>
              <w:t xml:space="preserve"> avansa summai atbilstu līgums ar kopējo apjomu 150 000 </w:t>
            </w:r>
            <w:proofErr w:type="spellStart"/>
            <w:r w:rsidRPr="00575E6C">
              <w:rPr>
                <w:rFonts w:eastAsia="Times New Roman" w:cs="Times New Roman"/>
                <w:i/>
                <w:spacing w:val="-2"/>
                <w:szCs w:val="24"/>
                <w:lang w:eastAsia="lv-LV"/>
              </w:rPr>
              <w:t>euro</w:t>
            </w:r>
            <w:proofErr w:type="spellEnd"/>
            <w:r w:rsidRPr="001B2C33">
              <w:rPr>
                <w:rFonts w:eastAsia="Times New Roman" w:cs="Times New Roman"/>
                <w:spacing w:val="-2"/>
                <w:szCs w:val="24"/>
                <w:lang w:eastAsia="lv-LV"/>
              </w:rPr>
              <w:t xml:space="preserve"> apmērā, kas ir pietiekami finansiāli ietilpīgs līgums, lai prasītu nodrošinājumu.</w:t>
            </w:r>
            <w:r w:rsidR="00435D73" w:rsidRPr="001B2C33">
              <w:rPr>
                <w:rFonts w:eastAsia="Times New Roman" w:cs="Times New Roman"/>
                <w:spacing w:val="-2"/>
                <w:szCs w:val="24"/>
                <w:lang w:eastAsia="lv-LV"/>
              </w:rPr>
              <w:t xml:space="preserve"> </w:t>
            </w:r>
          </w:p>
          <w:p w14:paraId="2D29CF5B" w14:textId="7825257A" w:rsidR="0066582B" w:rsidRPr="001B2C33" w:rsidRDefault="00837087" w:rsidP="0066582B">
            <w:pPr>
              <w:tabs>
                <w:tab w:val="left" w:pos="459"/>
              </w:tabs>
              <w:jc w:val="both"/>
              <w:rPr>
                <w:rFonts w:eastAsia="Times New Roman" w:cs="Times New Roman"/>
                <w:bCs/>
                <w:iCs/>
                <w:szCs w:val="24"/>
                <w:lang w:eastAsia="lv-LV"/>
              </w:rPr>
            </w:pPr>
            <w:r w:rsidRPr="001B2C33">
              <w:rPr>
                <w:rFonts w:eastAsia="Times New Roman" w:cs="Times New Roman"/>
                <w:bCs/>
                <w:iCs/>
                <w:szCs w:val="24"/>
                <w:lang w:eastAsia="lv-LV"/>
              </w:rPr>
              <w:t>Atkāpe no i</w:t>
            </w:r>
            <w:r w:rsidR="0066582B" w:rsidRPr="001B2C33">
              <w:rPr>
                <w:rFonts w:eastAsia="Times New Roman" w:cs="Times New Roman"/>
                <w:bCs/>
                <w:iCs/>
                <w:szCs w:val="24"/>
                <w:lang w:eastAsia="lv-LV"/>
              </w:rPr>
              <w:t xml:space="preserve">nstrukcijas projekta </w:t>
            </w:r>
            <w:r w:rsidRPr="001B2C33">
              <w:rPr>
                <w:rFonts w:eastAsia="Times New Roman" w:cs="Times New Roman"/>
                <w:bCs/>
                <w:iCs/>
                <w:szCs w:val="24"/>
                <w:lang w:eastAsia="lv-LV"/>
              </w:rPr>
              <w:t>96</w:t>
            </w:r>
            <w:r w:rsidR="0066582B" w:rsidRPr="001B2C33">
              <w:rPr>
                <w:rFonts w:eastAsia="Times New Roman" w:cs="Times New Roman"/>
                <w:bCs/>
                <w:iCs/>
                <w:szCs w:val="24"/>
                <w:lang w:eastAsia="lv-LV"/>
              </w:rPr>
              <w:t>.3.</w:t>
            </w:r>
            <w:r w:rsidR="00F63C4E" w:rsidRPr="001B2C33">
              <w:rPr>
                <w:rFonts w:eastAsia="Times New Roman" w:cs="Times New Roman"/>
                <w:bCs/>
                <w:iCs/>
                <w:szCs w:val="24"/>
                <w:lang w:eastAsia="lv-LV"/>
              </w:rPr>
              <w:t> </w:t>
            </w:r>
            <w:r w:rsidR="0066582B" w:rsidRPr="001B2C33">
              <w:rPr>
                <w:rFonts w:eastAsia="Times New Roman" w:cs="Times New Roman"/>
                <w:bCs/>
                <w:iCs/>
                <w:szCs w:val="24"/>
                <w:lang w:eastAsia="lv-LV"/>
              </w:rPr>
              <w:t>apakšpunktā</w:t>
            </w:r>
            <w:r w:rsidR="009B73A9" w:rsidRPr="001B2C33">
              <w:rPr>
                <w:rFonts w:eastAsia="Times New Roman" w:cs="Times New Roman"/>
                <w:bCs/>
                <w:iCs/>
                <w:szCs w:val="24"/>
                <w:lang w:eastAsia="lv-LV"/>
              </w:rPr>
              <w:t xml:space="preserve"> ietvertās</w:t>
            </w:r>
            <w:r w:rsidR="0066582B" w:rsidRPr="001B2C33">
              <w:rPr>
                <w:rFonts w:eastAsia="Times New Roman" w:cs="Times New Roman"/>
                <w:bCs/>
                <w:iCs/>
                <w:szCs w:val="24"/>
                <w:lang w:eastAsia="lv-LV"/>
              </w:rPr>
              <w:t xml:space="preserve"> prasība</w:t>
            </w:r>
            <w:r w:rsidR="009B73A9" w:rsidRPr="001B2C33">
              <w:rPr>
                <w:rFonts w:eastAsia="Times New Roman" w:cs="Times New Roman"/>
                <w:bCs/>
                <w:iCs/>
                <w:szCs w:val="24"/>
                <w:lang w:eastAsia="lv-LV"/>
              </w:rPr>
              <w:t>s</w:t>
            </w:r>
            <w:r w:rsidR="0066582B" w:rsidRPr="001B2C33">
              <w:rPr>
                <w:rFonts w:eastAsia="Times New Roman" w:cs="Times New Roman"/>
                <w:bCs/>
                <w:iCs/>
                <w:szCs w:val="24"/>
                <w:lang w:eastAsia="lv-LV"/>
              </w:rPr>
              <w:t xml:space="preserve"> par nodrošinājuma nosacījuma iekļaušanu </w:t>
            </w:r>
            <w:r w:rsidR="009B73A9" w:rsidRPr="001B2C33">
              <w:rPr>
                <w:rFonts w:eastAsia="Times New Roman" w:cs="Times New Roman"/>
                <w:bCs/>
                <w:iCs/>
                <w:szCs w:val="24"/>
                <w:lang w:eastAsia="lv-LV"/>
              </w:rPr>
              <w:t xml:space="preserve">līgumā </w:t>
            </w:r>
            <w:r w:rsidR="0066582B" w:rsidRPr="001B2C33">
              <w:rPr>
                <w:rFonts w:eastAsia="Times New Roman" w:cs="Times New Roman"/>
                <w:bCs/>
                <w:iCs/>
                <w:szCs w:val="24"/>
                <w:lang w:eastAsia="lv-LV"/>
              </w:rPr>
              <w:t>garantijas laika saistību izpilde</w:t>
            </w:r>
            <w:r w:rsidR="009B73A9" w:rsidRPr="001B2C33">
              <w:rPr>
                <w:rFonts w:eastAsia="Times New Roman" w:cs="Times New Roman"/>
                <w:bCs/>
                <w:iCs/>
                <w:szCs w:val="24"/>
                <w:lang w:eastAsia="lv-LV"/>
              </w:rPr>
              <w:t>i</w:t>
            </w:r>
            <w:proofErr w:type="gramStart"/>
            <w:r w:rsidR="0066582B" w:rsidRPr="001B2C33">
              <w:rPr>
                <w:rFonts w:eastAsia="Times New Roman" w:cs="Times New Roman"/>
                <w:bCs/>
                <w:iCs/>
                <w:szCs w:val="24"/>
                <w:lang w:eastAsia="lv-LV"/>
              </w:rPr>
              <w:t xml:space="preserve">  </w:t>
            </w:r>
            <w:proofErr w:type="gramEnd"/>
            <w:r w:rsidR="0066582B" w:rsidRPr="001B2C33">
              <w:rPr>
                <w:rFonts w:eastAsia="Times New Roman" w:cs="Times New Roman"/>
                <w:bCs/>
                <w:iCs/>
                <w:szCs w:val="24"/>
                <w:lang w:eastAsia="lv-LV"/>
              </w:rPr>
              <w:t>nav attiecināta uz informācijas tehnoloģiju standarta produktiem, kad nodrošinājumu var piemērot atkarībā no konkrētā informācijas tehnoloģiju produkta</w:t>
            </w:r>
            <w:r w:rsidR="009B73A9" w:rsidRPr="001B2C33">
              <w:rPr>
                <w:rFonts w:eastAsia="Times New Roman" w:cs="Times New Roman"/>
                <w:bCs/>
                <w:iCs/>
                <w:szCs w:val="24"/>
                <w:lang w:eastAsia="lv-LV"/>
              </w:rPr>
              <w:t xml:space="preserve"> veida, iespējām nodalīt tā atsevišķās vienības, saglabājot šo vienību funkcionalitāti, kā arī</w:t>
            </w:r>
            <w:r w:rsidR="0066582B" w:rsidRPr="001B2C33">
              <w:rPr>
                <w:rFonts w:eastAsia="Times New Roman" w:cs="Times New Roman"/>
                <w:bCs/>
                <w:iCs/>
                <w:szCs w:val="24"/>
                <w:lang w:eastAsia="lv-LV"/>
              </w:rPr>
              <w:t xml:space="preserve"> ietekmes uz līguma ietvaros nodot</w:t>
            </w:r>
            <w:r w:rsidR="009B73A9" w:rsidRPr="001B2C33">
              <w:rPr>
                <w:rFonts w:eastAsia="Times New Roman" w:cs="Times New Roman"/>
                <w:bCs/>
                <w:iCs/>
                <w:szCs w:val="24"/>
                <w:lang w:eastAsia="lv-LV"/>
              </w:rPr>
              <w:t>ā</w:t>
            </w:r>
            <w:r w:rsidR="0066582B" w:rsidRPr="001B2C33">
              <w:rPr>
                <w:rFonts w:eastAsia="Times New Roman" w:cs="Times New Roman"/>
                <w:bCs/>
                <w:iCs/>
                <w:szCs w:val="24"/>
                <w:lang w:eastAsia="lv-LV"/>
              </w:rPr>
              <w:t xml:space="preserve"> </w:t>
            </w:r>
            <w:r w:rsidR="009B73A9" w:rsidRPr="001B2C33">
              <w:rPr>
                <w:rFonts w:eastAsia="Times New Roman" w:cs="Times New Roman"/>
                <w:bCs/>
                <w:iCs/>
                <w:szCs w:val="24"/>
                <w:lang w:eastAsia="lv-LV"/>
              </w:rPr>
              <w:t xml:space="preserve">gala produkta </w:t>
            </w:r>
            <w:r w:rsidR="0066582B" w:rsidRPr="001B2C33">
              <w:rPr>
                <w:rFonts w:eastAsia="Times New Roman" w:cs="Times New Roman"/>
                <w:bCs/>
                <w:iCs/>
                <w:szCs w:val="24"/>
                <w:lang w:eastAsia="lv-LV"/>
              </w:rPr>
              <w:t>lietojamību kopumā. Tas skaidrojams ar apstākli, ka ieguvums no prasības iekļaut nodrošinājuma nosacījumus līgumā, ja konstatēta nepieciešamība nodrošināt garantijas laika saistību izpildes ievērošanu, attiecināšanas arī uz bezmaksas garantiju (autoruzraudzību) informāciju sistēmu izstrādes līgumiem, var būt nesamērīgs attiecībā pret garantijas saistību neizpildes riskiem, tād</w:t>
            </w:r>
            <w:r w:rsidR="00575E6C">
              <w:rPr>
                <w:rFonts w:eastAsia="Times New Roman" w:cs="Times New Roman"/>
                <w:bCs/>
                <w:iCs/>
                <w:szCs w:val="24"/>
                <w:lang w:eastAsia="lv-LV"/>
              </w:rPr>
              <w:t>ē</w:t>
            </w:r>
            <w:r w:rsidR="0066582B" w:rsidRPr="001B2C33">
              <w:rPr>
                <w:rFonts w:eastAsia="Times New Roman" w:cs="Times New Roman"/>
                <w:bCs/>
                <w:iCs/>
                <w:szCs w:val="24"/>
                <w:lang w:eastAsia="lv-LV"/>
              </w:rPr>
              <w:t>jādi ievērojami sadārdzinot piedāvājumu un atsverot potenciālo ieguvumu, ko varētu sniegt garantija, jo piegādātājam būtu jāsniedz ilgtermiņa nodrošinājums</w:t>
            </w:r>
            <w:r w:rsidR="00575E6C">
              <w:rPr>
                <w:rFonts w:eastAsia="Times New Roman" w:cs="Times New Roman"/>
                <w:bCs/>
                <w:iCs/>
                <w:szCs w:val="24"/>
                <w:lang w:eastAsia="lv-LV"/>
              </w:rPr>
              <w:t xml:space="preserve"> tādēļ, </w:t>
            </w:r>
            <w:r w:rsidR="0066582B" w:rsidRPr="001B2C33">
              <w:rPr>
                <w:rFonts w:eastAsia="Times New Roman" w:cs="Times New Roman"/>
                <w:bCs/>
                <w:iCs/>
                <w:szCs w:val="24"/>
                <w:lang w:eastAsia="lv-LV"/>
              </w:rPr>
              <w:t xml:space="preserve">ka parasti garantija ir vismaz 1 gadu. </w:t>
            </w:r>
          </w:p>
          <w:p w14:paraId="2D29CF5C" w14:textId="2777E534" w:rsidR="000E6764" w:rsidRPr="001B2C33" w:rsidRDefault="000E6764" w:rsidP="0066582B">
            <w:pPr>
              <w:tabs>
                <w:tab w:val="left" w:pos="459"/>
              </w:tabs>
              <w:jc w:val="both"/>
              <w:rPr>
                <w:rFonts w:eastAsia="Times New Roman" w:cs="Times New Roman"/>
                <w:bCs/>
                <w:iCs/>
                <w:szCs w:val="24"/>
                <w:lang w:eastAsia="lv-LV"/>
              </w:rPr>
            </w:pPr>
            <w:r w:rsidRPr="001B2C33">
              <w:rPr>
                <w:rFonts w:eastAsia="Times New Roman" w:cs="Times New Roman"/>
                <w:bCs/>
                <w:iCs/>
                <w:szCs w:val="24"/>
                <w:lang w:eastAsia="lv-LV"/>
              </w:rPr>
              <w:t>Instrukcijas projekta 10</w:t>
            </w:r>
            <w:r w:rsidR="009B73A9" w:rsidRPr="001B2C33">
              <w:rPr>
                <w:rFonts w:eastAsia="Times New Roman" w:cs="Times New Roman"/>
                <w:bCs/>
                <w:iCs/>
                <w:szCs w:val="24"/>
                <w:lang w:eastAsia="lv-LV"/>
              </w:rPr>
              <w:t>1</w:t>
            </w:r>
            <w:r w:rsidR="00CD169F">
              <w:rPr>
                <w:rFonts w:eastAsia="Times New Roman" w:cs="Times New Roman"/>
                <w:bCs/>
                <w:iCs/>
                <w:szCs w:val="24"/>
                <w:lang w:eastAsia="lv-LV"/>
              </w:rPr>
              <w:t>. p</w:t>
            </w:r>
            <w:r w:rsidRPr="001B2C33">
              <w:rPr>
                <w:rFonts w:eastAsia="Times New Roman" w:cs="Times New Roman"/>
                <w:bCs/>
                <w:iCs/>
                <w:szCs w:val="24"/>
                <w:lang w:eastAsia="lv-LV"/>
              </w:rPr>
              <w:t xml:space="preserve">unktā kā viens no nodrošinājuma veidiem nav ietverta ķīla, jo praksē nav </w:t>
            </w:r>
            <w:r w:rsidRPr="001B2C33">
              <w:rPr>
                <w:rFonts w:eastAsia="Times New Roman" w:cs="Times New Roman"/>
                <w:bCs/>
                <w:iCs/>
                <w:szCs w:val="24"/>
                <w:lang w:eastAsia="lv-LV"/>
              </w:rPr>
              <w:lastRenderedPageBreak/>
              <w:t>radušās situācijas, kad šādas normas piemērošana ir bijusi nepieciešama, turklāt nepastāv vienota metodika par ķīlas vērtības noteikša</w:t>
            </w:r>
            <w:r w:rsidR="00EC5E29">
              <w:rPr>
                <w:rFonts w:eastAsia="Times New Roman" w:cs="Times New Roman"/>
                <w:bCs/>
                <w:iCs/>
                <w:szCs w:val="24"/>
                <w:lang w:eastAsia="lv-LV"/>
              </w:rPr>
              <w:t>nu un pasūtītājam rodas papildu</w:t>
            </w:r>
            <w:r w:rsidRPr="001B2C33">
              <w:rPr>
                <w:rFonts w:eastAsia="Times New Roman" w:cs="Times New Roman"/>
                <w:bCs/>
                <w:iCs/>
                <w:szCs w:val="24"/>
                <w:lang w:eastAsia="lv-LV"/>
              </w:rPr>
              <w:t xml:space="preserve"> izdevumi ķīlas novērtēšanai un tās pārdošanai.</w:t>
            </w:r>
          </w:p>
          <w:p w14:paraId="2D29CF5D" w14:textId="581BB199" w:rsidR="003D1FE6" w:rsidRPr="001B2C33" w:rsidRDefault="003D1FE6" w:rsidP="0066582B">
            <w:pPr>
              <w:tabs>
                <w:tab w:val="left" w:pos="459"/>
              </w:tabs>
              <w:jc w:val="both"/>
              <w:rPr>
                <w:rFonts w:eastAsia="Times New Roman" w:cs="Times New Roman"/>
                <w:bCs/>
                <w:iCs/>
                <w:szCs w:val="24"/>
                <w:lang w:eastAsia="lv-LV"/>
              </w:rPr>
            </w:pPr>
            <w:r w:rsidRPr="001B2C33">
              <w:rPr>
                <w:rFonts w:eastAsia="Times New Roman" w:cs="Times New Roman"/>
                <w:bCs/>
                <w:iCs/>
                <w:szCs w:val="24"/>
                <w:lang w:eastAsia="lv-LV"/>
              </w:rPr>
              <w:t>Instrukcijas projekta 10</w:t>
            </w:r>
            <w:r w:rsidR="009B73A9" w:rsidRPr="001B2C33">
              <w:rPr>
                <w:rFonts w:eastAsia="Times New Roman" w:cs="Times New Roman"/>
                <w:bCs/>
                <w:iCs/>
                <w:szCs w:val="24"/>
                <w:lang w:eastAsia="lv-LV"/>
              </w:rPr>
              <w:t>5</w:t>
            </w:r>
            <w:r w:rsidR="00CD169F">
              <w:rPr>
                <w:rFonts w:eastAsia="Times New Roman" w:cs="Times New Roman"/>
                <w:bCs/>
                <w:iCs/>
                <w:szCs w:val="24"/>
                <w:lang w:eastAsia="lv-LV"/>
              </w:rPr>
              <w:t>. p</w:t>
            </w:r>
            <w:r w:rsidRPr="001B2C33">
              <w:rPr>
                <w:rFonts w:eastAsia="Times New Roman" w:cs="Times New Roman"/>
                <w:bCs/>
                <w:iCs/>
                <w:szCs w:val="24"/>
                <w:lang w:eastAsia="lv-LV"/>
              </w:rPr>
              <w:t>unkts paredz, ka piegādātāja pienākums ir garantēt, ka nodrošinājums paliek spēkā un ir realizējams līdz brīdim, kad piegādātājs ir izpildījis visus ar attiecīgo nodrošinājumu saistītos no līguma izrietošos pienākumus. Tas nozīmē, ka</w:t>
            </w:r>
            <w:r w:rsidR="00F60F7D" w:rsidRPr="001B2C33">
              <w:rPr>
                <w:rFonts w:eastAsia="Times New Roman" w:cs="Times New Roman"/>
                <w:bCs/>
                <w:iCs/>
                <w:szCs w:val="24"/>
                <w:lang w:eastAsia="lv-LV"/>
              </w:rPr>
              <w:t xml:space="preserve"> tieši piegādātājs ir atbildīgs par nodrošinājuma spēkā esamības un realizācijas statusa uzraudzību, lai neveidotos situācija, kad pasūtītājs veic nodrošinājuma prasījumu, bet tas nevar tikt apmierināts, piemēram, galvotāja vai galvotāju apvienības maksātnespējas dēļ. Piegādātāja pienākums ir periodiski uzraudzīt nodrošinājuma statusu un pārliecināties par tā spēkā esamību un gadījumā</w:t>
            </w:r>
            <w:r w:rsidR="005B10AC" w:rsidRPr="001B2C33">
              <w:rPr>
                <w:rFonts w:eastAsia="Times New Roman" w:cs="Times New Roman"/>
                <w:bCs/>
                <w:iCs/>
                <w:szCs w:val="24"/>
                <w:lang w:eastAsia="lv-LV"/>
              </w:rPr>
              <w:t>,</w:t>
            </w:r>
            <w:r w:rsidR="00F60F7D" w:rsidRPr="001B2C33">
              <w:rPr>
                <w:rFonts w:eastAsia="Times New Roman" w:cs="Times New Roman"/>
                <w:bCs/>
                <w:iCs/>
                <w:szCs w:val="24"/>
                <w:lang w:eastAsia="lv-LV"/>
              </w:rPr>
              <w:t xml:space="preserve"> ja tas ir kļuvis nerealizējams, piedāvāt pasūtītājam vienoties par alternatīviem risinājumiem potenciālā nodrošinājuma prasījuma apmierināšanai.</w:t>
            </w:r>
          </w:p>
          <w:p w14:paraId="2D29CF5E" w14:textId="045B2518" w:rsidR="001F3BFF" w:rsidRPr="001B2C33" w:rsidRDefault="001F3BFF" w:rsidP="00D61969">
            <w:pPr>
              <w:tabs>
                <w:tab w:val="left" w:pos="459"/>
              </w:tabs>
              <w:jc w:val="both"/>
            </w:pPr>
            <w:r w:rsidRPr="001B2C33">
              <w:t>Instrukcijas projekta 12</w:t>
            </w:r>
            <w:r w:rsidR="009B73A9" w:rsidRPr="001B2C33">
              <w:t>1</w:t>
            </w:r>
            <w:r w:rsidRPr="001B2C33">
              <w:t>.2</w:t>
            </w:r>
            <w:r w:rsidR="00CD169F">
              <w:t>. a</w:t>
            </w:r>
            <w:r w:rsidRPr="001B2C33">
              <w:t xml:space="preserve">pakšpunktā 135 000 </w:t>
            </w:r>
            <w:proofErr w:type="spellStart"/>
            <w:r w:rsidRPr="001B2C33">
              <w:rPr>
                <w:i/>
              </w:rPr>
              <w:t>euro</w:t>
            </w:r>
            <w:proofErr w:type="spellEnd"/>
            <w:r w:rsidRPr="001B2C33">
              <w:t xml:space="preserve"> līgumcenas robežvērtība attiecībā uz garantijas </w:t>
            </w:r>
            <w:r w:rsidR="00610C07" w:rsidRPr="001B2C33">
              <w:t xml:space="preserve">un </w:t>
            </w:r>
            <w:r w:rsidRPr="001B2C33">
              <w:t xml:space="preserve">galvojuma </w:t>
            </w:r>
            <w:r w:rsidR="00CF2CBA" w:rsidRPr="001B2C33">
              <w:t xml:space="preserve">noteikumu </w:t>
            </w:r>
            <w:r w:rsidRPr="001B2C33">
              <w:t>obligātu iekļaušanu līgumos izvēlēta</w:t>
            </w:r>
            <w:r w:rsidR="00EC5E29">
              <w:t>,</w:t>
            </w:r>
            <w:r w:rsidRPr="001B2C33">
              <w:t xml:space="preserve"> ņemot par pamatu Ministru kabineta </w:t>
            </w:r>
            <w:r w:rsidR="00EC5E29" w:rsidRPr="001B2C33">
              <w:t>2010</w:t>
            </w:r>
            <w:r w:rsidR="00EC5E29">
              <w:t>. g</w:t>
            </w:r>
            <w:r w:rsidR="00EC5E29" w:rsidRPr="001B2C33">
              <w:t>ada 8</w:t>
            </w:r>
            <w:r w:rsidR="00EC5E29">
              <w:t>. j</w:t>
            </w:r>
            <w:r w:rsidR="00EC5E29" w:rsidRPr="001B2C33">
              <w:t xml:space="preserve">ūnija </w:t>
            </w:r>
            <w:r w:rsidRPr="001B2C33">
              <w:t xml:space="preserve">noteikumu Nr.519  </w:t>
            </w:r>
            <w:r w:rsidR="00CD169F">
              <w:t>"</w:t>
            </w:r>
            <w:r w:rsidRPr="001B2C33">
              <w:t>Noteikumi par publisko iepirkumu līgumcenu robežām</w:t>
            </w:r>
            <w:r w:rsidR="00CD169F">
              <w:t>"</w:t>
            </w:r>
            <w:r w:rsidRPr="001B2C33">
              <w:t xml:space="preserve"> (MK 19.01.2016. noteikumu Nr. 40 redakcijā) 2.8</w:t>
            </w:r>
            <w:r w:rsidR="00CD169F">
              <w:t xml:space="preserve">. </w:t>
            </w:r>
            <w:r w:rsidR="00EC5E29">
              <w:t>apakš</w:t>
            </w:r>
            <w:r w:rsidR="00CD169F">
              <w:t>p</w:t>
            </w:r>
            <w:r w:rsidRPr="001B2C33">
              <w:t>unktā noteikto piegāžu un pakalpojumu līgumu vērtības.</w:t>
            </w:r>
          </w:p>
          <w:p w14:paraId="2D29CF61" w14:textId="72F1AF8C" w:rsidR="00152A03" w:rsidRPr="001B2C33" w:rsidRDefault="00152A03" w:rsidP="00152A03">
            <w:pPr>
              <w:tabs>
                <w:tab w:val="left" w:pos="459"/>
              </w:tabs>
              <w:jc w:val="both"/>
            </w:pPr>
            <w:r w:rsidRPr="001B2C33">
              <w:t>Instrukcijas projekta 12</w:t>
            </w:r>
            <w:r w:rsidR="009B73A9" w:rsidRPr="001B2C33">
              <w:t>6</w:t>
            </w:r>
            <w:r w:rsidRPr="001B2C33">
              <w:t>.4</w:t>
            </w:r>
            <w:r w:rsidR="00CD169F">
              <w:t>. a</w:t>
            </w:r>
            <w:r w:rsidRPr="001B2C33">
              <w:t>pakšpunktā kā viens no galvojumu veidiem tiek paredzēts līguma garantijas rezerves (ieturējuma naudas) galvojums. Šim galvojumam ir zināma līdzība ar garantijas laika galvojumu</w:t>
            </w:r>
            <w:r w:rsidR="00EC5E29">
              <w:t>,</w:t>
            </w:r>
            <w:r w:rsidRPr="001B2C33">
              <w:t xml:space="preserve"> un tas ļauj piegādātājam saņemt no pasūtītā</w:t>
            </w:r>
            <w:r w:rsidR="00EC5E29">
              <w:t>ja to naudas summu (parasti – 5–</w:t>
            </w:r>
            <w:r w:rsidRPr="001B2C33">
              <w:t>10</w:t>
            </w:r>
            <w:r w:rsidR="00EC5E29">
              <w:t> </w:t>
            </w:r>
            <w:r w:rsidRPr="001B2C33">
              <w:t>% no iepirkuma līguma summas), kas piegādātājam jau pienākas no pasūtītāja par piegādātāja izpildītajiem būvdarbiem, sniegtajiem pakalpojum</w:t>
            </w:r>
            <w:r w:rsidR="00EC5E29">
              <w:t>iem</w:t>
            </w:r>
            <w:r w:rsidRPr="001B2C33">
              <w:t xml:space="preserve"> vai piegādātajām precēm un kuras samaksu piegādātājam pasūtītājs, ņemot vērā iepirkuma līguma noteikumus, atliek līdz tam brīdim, kad visas no iepirkuma līguma izrietošās piegādātāja saistības būs izpildītas, vai līdz tam brīdim, kad beigsies noteikts laika posms, kas seko šādai izpildei. Attiecīgā naudas summa (saukta arī par</w:t>
            </w:r>
            <w:r w:rsidR="00446059">
              <w:t xml:space="preserve"> </w:t>
            </w:r>
            <w:r w:rsidRPr="001B2C33">
              <w:t>rezerves maksājumu vai ieturējuma naudu) ir paredzēta tam, lai pasūtītājs varētu izmantot šo naudas</w:t>
            </w:r>
            <w:r w:rsidR="00446059">
              <w:t xml:space="preserve"> </w:t>
            </w:r>
            <w:r w:rsidRPr="001B2C33">
              <w:t xml:space="preserve">summu, lai apmierinātu savus prasījumus, kas tam var rasties pret piegādātāju sakarā ar iepirkuma līguma nepienācīgu izpildi (parasti – gadījumā, ja noteiktā laika posmā pēc iepirkuma līguma izpildes tiek konstatēti piegādātāja izpildīto būvdarbu, sniegto pakalpojumu vai piegādāto preču trūkumi). Rezerves maksājuma (ieturējuma naudas) galvojums tiek iesniegts pasūtītājam – galvojuma saņēmējam, lai aizstātu ar šo galvojumu rezerves </w:t>
            </w:r>
            <w:r w:rsidRPr="001B2C33">
              <w:lastRenderedPageBreak/>
              <w:t>maksājumu (ieturējuma naudu). Līdz ar to rezerves maksājuma (ieturējuma naudas) galvojuma summa parasti ir vienāda ar rezerves maksājuma (ieturējuma naudas) summu, kas paredzēta iepirkuma līgumā. Pasūtītājs – galvojuma saņēmējs – ir tiesīgs pieprasīt, lai galvinieks veic maksājumu pasūtītājam uz galvojuma pamata gadījumā, ja tiek konstatēta tāda iepirkuma līguma nepienācīgā izpilde (piemēram, tiek konstatēti piegādātāja izpildīto būvdarbu trūkumi), ar kuru saistīto pasūtītāja prasījumu apmierināšanai tas citādi izmantotu rezerves maksājumu (ieturējuma naudu).</w:t>
            </w:r>
          </w:p>
          <w:p w14:paraId="2D29CF62" w14:textId="77777777" w:rsidR="000E6764" w:rsidRPr="001B2C33" w:rsidRDefault="000E6764" w:rsidP="00D61969">
            <w:pPr>
              <w:tabs>
                <w:tab w:val="left" w:pos="459"/>
              </w:tabs>
              <w:jc w:val="both"/>
            </w:pPr>
            <w:r w:rsidRPr="001B2C33">
              <w:t xml:space="preserve">Instrukcijas projekta </w:t>
            </w:r>
            <w:r w:rsidR="009B73A9" w:rsidRPr="001B2C33">
              <w:t>179</w:t>
            </w:r>
            <w:r w:rsidRPr="001B2C33">
              <w:t xml:space="preserve">. </w:t>
            </w:r>
            <w:r w:rsidR="009B73A9" w:rsidRPr="001B2C33">
              <w:t>p</w:t>
            </w:r>
            <w:r w:rsidRPr="001B2C33">
              <w:t>unkta izpratnē iestāde var piemērot tādus pirmstiesas strīdu izšķiršanas mehānismus kā mediācija un pušu sarunas.</w:t>
            </w:r>
          </w:p>
          <w:p w14:paraId="2D29CF63" w14:textId="5F838FA5" w:rsidR="00D75108" w:rsidRPr="001B2C33" w:rsidRDefault="00DE7EAD" w:rsidP="00D61969">
            <w:pPr>
              <w:tabs>
                <w:tab w:val="left" w:pos="459"/>
              </w:tabs>
              <w:jc w:val="both"/>
            </w:pPr>
            <w:r w:rsidRPr="001B2C33">
              <w:t xml:space="preserve">Tāpat instrukcijas projektā veikti vairāki redakcionāli labojumi. Piemēram, aizstāti vārdi </w:t>
            </w:r>
            <w:r w:rsidR="00CD169F">
              <w:t>"</w:t>
            </w:r>
            <w:r w:rsidRPr="001B2C33">
              <w:t>līguma summa</w:t>
            </w:r>
            <w:r w:rsidR="00CD169F">
              <w:t>"</w:t>
            </w:r>
            <w:r w:rsidRPr="001B2C33">
              <w:t xml:space="preserve"> ar vārdu </w:t>
            </w:r>
            <w:r w:rsidR="00CD169F">
              <w:t>"</w:t>
            </w:r>
            <w:r w:rsidRPr="001B2C33">
              <w:t>līgumcena</w:t>
            </w:r>
            <w:r w:rsidR="00CD169F">
              <w:t>"</w:t>
            </w:r>
            <w:r w:rsidRPr="001B2C33">
              <w:t xml:space="preserve"> attiecīgā locījumā atbilstoši tam</w:t>
            </w:r>
            <w:r w:rsidR="00446059">
              <w:t>, kā ši</w:t>
            </w:r>
            <w:r w:rsidRPr="001B2C33">
              <w:t xml:space="preserve">s jēdziens lietots Publisko iepirkumu likumā. </w:t>
            </w:r>
          </w:p>
          <w:p w14:paraId="2D29CF64" w14:textId="08D91897" w:rsidR="00DE7EAD" w:rsidRPr="001B2C33" w:rsidRDefault="00D75108" w:rsidP="00D61969">
            <w:pPr>
              <w:tabs>
                <w:tab w:val="left" w:pos="459"/>
              </w:tabs>
              <w:jc w:val="both"/>
            </w:pPr>
            <w:r w:rsidRPr="001B2C33">
              <w:t>Ņemot vērā, ka instrukcijas projekta 2.22. sadaļa</w:t>
            </w:r>
            <w:r w:rsidR="00256121" w:rsidRPr="001B2C33">
              <w:t xml:space="preserve"> </w:t>
            </w:r>
            <w:r w:rsidR="00CD169F">
              <w:t>"</w:t>
            </w:r>
            <w:r w:rsidR="00256121" w:rsidRPr="001B2C33">
              <w:t>Strīdu izskatīšana</w:t>
            </w:r>
            <w:r w:rsidR="00CD169F">
              <w:t>"</w:t>
            </w:r>
            <w:r w:rsidRPr="001B2C33">
              <w:t xml:space="preserve"> regulē strīdu izskatīšanas kārtību, tad instrukcijas norma</w:t>
            </w:r>
            <w:r w:rsidR="00256121" w:rsidRPr="001B2C33">
              <w:t xml:space="preserve"> (121</w:t>
            </w:r>
            <w:r w:rsidR="00CD169F">
              <w:t>. p</w:t>
            </w:r>
            <w:r w:rsidR="00256121" w:rsidRPr="001B2C33">
              <w:t xml:space="preserve">unkts </w:t>
            </w:r>
            <w:r w:rsidR="00256121" w:rsidRPr="001B2C33">
              <w:rPr>
                <w:rFonts w:eastAsia="Times New Roman" w:cs="Times New Roman"/>
                <w:spacing w:val="-2"/>
                <w:szCs w:val="24"/>
                <w:lang w:eastAsia="lv-LV"/>
              </w:rPr>
              <w:t xml:space="preserve">Ministru kabineta 2013. gada 2. jūlija instrukcijas Nr. 7 </w:t>
            </w:r>
            <w:r w:rsidR="00CD169F">
              <w:rPr>
                <w:rFonts w:eastAsia="Times New Roman" w:cs="Times New Roman"/>
                <w:spacing w:val="-2"/>
                <w:szCs w:val="24"/>
                <w:lang w:eastAsia="lv-LV"/>
              </w:rPr>
              <w:t>"</w:t>
            </w:r>
            <w:r w:rsidR="00256121" w:rsidRPr="001B2C33">
              <w:rPr>
                <w:rFonts w:eastAsia="Times New Roman" w:cs="Times New Roman"/>
                <w:spacing w:val="-2"/>
                <w:szCs w:val="24"/>
                <w:lang w:eastAsia="lv-LV"/>
              </w:rPr>
              <w:t>Ārvalstu finanšu instrumentu finansētu civiltiesisku līgumu izstrādes un slēgšanas instrukcija valsts tiešās pārvaldes iestādēs</w:t>
            </w:r>
            <w:r w:rsidR="00CD169F">
              <w:rPr>
                <w:rFonts w:eastAsia="Times New Roman" w:cs="Times New Roman"/>
                <w:spacing w:val="-2"/>
                <w:szCs w:val="24"/>
                <w:lang w:eastAsia="lv-LV"/>
              </w:rPr>
              <w:t>"</w:t>
            </w:r>
            <w:r w:rsidR="00256121" w:rsidRPr="001B2C33">
              <w:rPr>
                <w:rFonts w:eastAsia="Times New Roman" w:cs="Times New Roman"/>
                <w:spacing w:val="-2"/>
                <w:szCs w:val="24"/>
                <w:lang w:eastAsia="lv-LV"/>
              </w:rPr>
              <w:t xml:space="preserve"> redakcijā</w:t>
            </w:r>
            <w:r w:rsidR="00256121" w:rsidRPr="001B2C33">
              <w:t>)</w:t>
            </w:r>
            <w:r w:rsidRPr="001B2C33">
              <w:t xml:space="preserve">, kas noteic pirmstiesas strīdu izšķiršanas kārtību un mehānismus, kā </w:t>
            </w:r>
            <w:r w:rsidR="009B73A9" w:rsidRPr="001B2C33">
              <w:t>179</w:t>
            </w:r>
            <w:r w:rsidR="00CD169F">
              <w:t>. p</w:t>
            </w:r>
            <w:r w:rsidRPr="001B2C33">
              <w:t xml:space="preserve">unkts pārcelta uz </w:t>
            </w:r>
            <w:r w:rsidR="00256121" w:rsidRPr="001B2C33">
              <w:t>2.22.</w:t>
            </w:r>
            <w:r w:rsidRPr="001B2C33">
              <w:t xml:space="preserve"> sadaļu</w:t>
            </w:r>
            <w:r w:rsidR="00256121" w:rsidRPr="001B2C33">
              <w:t>.</w:t>
            </w:r>
          </w:p>
          <w:p w14:paraId="2D29CF65" w14:textId="77777777" w:rsidR="00256121" w:rsidRPr="001B2C33" w:rsidRDefault="00256121" w:rsidP="00D61969">
            <w:pPr>
              <w:tabs>
                <w:tab w:val="left" w:pos="459"/>
              </w:tabs>
              <w:jc w:val="both"/>
              <w:rPr>
                <w:rFonts w:eastAsia="Times New Roman" w:cs="Times New Roman"/>
                <w:bCs/>
                <w:iCs/>
                <w:szCs w:val="24"/>
                <w:lang w:eastAsia="lv-LV"/>
              </w:rPr>
            </w:pPr>
          </w:p>
          <w:p w14:paraId="2D29CF66" w14:textId="27819CB7" w:rsidR="008B685E" w:rsidRPr="006D782C" w:rsidRDefault="006D782C" w:rsidP="00446059">
            <w:pPr>
              <w:tabs>
                <w:tab w:val="left" w:pos="459"/>
              </w:tabs>
              <w:jc w:val="both"/>
              <w:rPr>
                <w:b/>
                <w:highlight w:val="yellow"/>
              </w:rPr>
            </w:pPr>
            <w:r w:rsidRPr="001B2C33">
              <w:rPr>
                <w:rFonts w:eastAsia="Times New Roman" w:cs="Times New Roman"/>
                <w:bCs/>
                <w:iCs/>
                <w:szCs w:val="24"/>
                <w:lang w:eastAsia="lv-LV"/>
              </w:rPr>
              <w:t xml:space="preserve">Anotācijā pēc vienošanās ar Latvijas Informācijas un komunikācijas tehnoloģijas asociāciju (LIKTA) papildus norādām, ka līgumu izstrādē (piemēram, nosakot piegādātāja zaudējumu apmēru atbilstoši </w:t>
            </w:r>
            <w:r w:rsidR="00446059">
              <w:rPr>
                <w:rFonts w:eastAsia="Times New Roman" w:cs="Times New Roman"/>
                <w:bCs/>
                <w:iCs/>
                <w:szCs w:val="24"/>
                <w:lang w:eastAsia="lv-LV"/>
              </w:rPr>
              <w:t>i</w:t>
            </w:r>
            <w:r w:rsidRPr="001B2C33">
              <w:rPr>
                <w:rFonts w:eastAsia="Times New Roman" w:cs="Times New Roman"/>
                <w:bCs/>
                <w:iCs/>
                <w:szCs w:val="24"/>
                <w:lang w:eastAsia="lv-LV"/>
              </w:rPr>
              <w:t xml:space="preserve">nstrukcijas projekta </w:t>
            </w:r>
            <w:r w:rsidR="009B73A9" w:rsidRPr="001B2C33">
              <w:rPr>
                <w:rFonts w:eastAsia="Times New Roman" w:cs="Times New Roman"/>
                <w:bCs/>
                <w:iCs/>
                <w:szCs w:val="24"/>
                <w:lang w:eastAsia="lv-LV"/>
              </w:rPr>
              <w:t>147</w:t>
            </w:r>
            <w:r w:rsidRPr="001B2C33">
              <w:rPr>
                <w:rFonts w:eastAsia="Times New Roman" w:cs="Times New Roman"/>
                <w:bCs/>
                <w:iCs/>
                <w:szCs w:val="24"/>
                <w:lang w:eastAsia="lv-LV"/>
              </w:rPr>
              <w:t>. punktam) ir ieteicams ievērot nozaru asociāciju izdotās vadlīnijas</w:t>
            </w:r>
          </w:p>
        </w:tc>
      </w:tr>
      <w:tr w:rsidR="00EA5E16" w:rsidRPr="00520485" w14:paraId="2D29CF6B" w14:textId="77777777" w:rsidTr="00AA3252">
        <w:tc>
          <w:tcPr>
            <w:tcW w:w="426" w:type="dxa"/>
          </w:tcPr>
          <w:p w14:paraId="2D29CF68" w14:textId="77777777" w:rsidR="00EA5E16" w:rsidRPr="00520485" w:rsidRDefault="00EA5E16" w:rsidP="00AA3252">
            <w:pPr>
              <w:pStyle w:val="naisnod"/>
              <w:spacing w:before="0" w:after="0"/>
              <w:ind w:left="34" w:right="-8"/>
              <w:jc w:val="both"/>
            </w:pPr>
            <w:r w:rsidRPr="00520485">
              <w:lastRenderedPageBreak/>
              <w:t>3.</w:t>
            </w:r>
          </w:p>
        </w:tc>
        <w:tc>
          <w:tcPr>
            <w:tcW w:w="2835" w:type="dxa"/>
          </w:tcPr>
          <w:p w14:paraId="2D29CF69" w14:textId="77777777" w:rsidR="00EA5E16" w:rsidRPr="00520485" w:rsidRDefault="00613DAF" w:rsidP="00EA5E16">
            <w:pPr>
              <w:rPr>
                <w:rFonts w:eastAsia="Times New Roman" w:cs="Times New Roman"/>
                <w:szCs w:val="24"/>
                <w:lang w:eastAsia="lv-LV"/>
              </w:rPr>
            </w:pPr>
            <w:r w:rsidRPr="00613DAF">
              <w:rPr>
                <w:rFonts w:eastAsia="Times New Roman" w:cs="Times New Roman"/>
                <w:szCs w:val="24"/>
                <w:lang w:eastAsia="lv-LV"/>
              </w:rPr>
              <w:t>Projekta izstrādē iesaistītās institūcijas</w:t>
            </w:r>
          </w:p>
        </w:tc>
        <w:tc>
          <w:tcPr>
            <w:tcW w:w="5918" w:type="dxa"/>
          </w:tcPr>
          <w:p w14:paraId="2D29CF6A" w14:textId="3265E8A8" w:rsidR="00EA5E16" w:rsidRPr="00C51FC2" w:rsidRDefault="00C51FC2" w:rsidP="00446059">
            <w:pPr>
              <w:jc w:val="both"/>
              <w:rPr>
                <w:color w:val="000000"/>
              </w:rPr>
            </w:pPr>
            <w:r>
              <w:rPr>
                <w:color w:val="000000"/>
              </w:rPr>
              <w:t>Darba grupas sastāvā tika iekļauti</w:t>
            </w:r>
            <w:r w:rsidR="00031129">
              <w:rPr>
                <w:rStyle w:val="apple-converted-space"/>
                <w:color w:val="000000"/>
              </w:rPr>
              <w:t xml:space="preserve"> </w:t>
            </w:r>
            <w:r>
              <w:rPr>
                <w:color w:val="000000"/>
              </w:rPr>
              <w:t xml:space="preserve">pārstāvji no </w:t>
            </w:r>
            <w:r w:rsidRPr="00C51FC2">
              <w:rPr>
                <w:color w:val="000000"/>
              </w:rPr>
              <w:t>Centrālās finanšu un līgumu aģentūras</w:t>
            </w:r>
            <w:r>
              <w:rPr>
                <w:color w:val="000000"/>
              </w:rPr>
              <w:t xml:space="preserve">, </w:t>
            </w:r>
            <w:r w:rsidRPr="00C51FC2">
              <w:rPr>
                <w:color w:val="000000"/>
              </w:rPr>
              <w:t>Ekonomikas ministrijas</w:t>
            </w:r>
            <w:r>
              <w:rPr>
                <w:color w:val="000000"/>
              </w:rPr>
              <w:t xml:space="preserve">, </w:t>
            </w:r>
            <w:r w:rsidRPr="00C51FC2">
              <w:rPr>
                <w:color w:val="000000"/>
              </w:rPr>
              <w:t>Iepirkumu uzraudzības biroja</w:t>
            </w:r>
            <w:r>
              <w:rPr>
                <w:color w:val="000000"/>
              </w:rPr>
              <w:t xml:space="preserve">, </w:t>
            </w:r>
            <w:r w:rsidRPr="00C51FC2">
              <w:rPr>
                <w:color w:val="000000"/>
              </w:rPr>
              <w:t>Kultūras ministrijas</w:t>
            </w:r>
            <w:r>
              <w:rPr>
                <w:color w:val="000000"/>
              </w:rPr>
              <w:t xml:space="preserve">, </w:t>
            </w:r>
            <w:r w:rsidRPr="00C51FC2">
              <w:rPr>
                <w:color w:val="000000"/>
              </w:rPr>
              <w:t>Labklājības ministrijas</w:t>
            </w:r>
            <w:r>
              <w:rPr>
                <w:color w:val="000000"/>
              </w:rPr>
              <w:t xml:space="preserve">, </w:t>
            </w:r>
            <w:r w:rsidRPr="00C51FC2">
              <w:rPr>
                <w:color w:val="000000"/>
              </w:rPr>
              <w:t>Latvijas Informācijas un komunik</w:t>
            </w:r>
            <w:r>
              <w:rPr>
                <w:color w:val="000000"/>
              </w:rPr>
              <w:t xml:space="preserve">ācijas tehnoloģijas asociācijas, </w:t>
            </w:r>
            <w:r w:rsidRPr="00C51FC2">
              <w:rPr>
                <w:color w:val="000000"/>
              </w:rPr>
              <w:t>Latvijas Investīciju un attīstības aģentūras</w:t>
            </w:r>
            <w:r>
              <w:rPr>
                <w:color w:val="000000"/>
              </w:rPr>
              <w:t xml:space="preserve">, Lauku atbalsta dienesta, </w:t>
            </w:r>
            <w:r w:rsidRPr="00C51FC2">
              <w:rPr>
                <w:color w:val="000000"/>
              </w:rPr>
              <w:t>Nodarbinātības valsts aģentūras</w:t>
            </w:r>
            <w:r>
              <w:rPr>
                <w:color w:val="000000"/>
              </w:rPr>
              <w:t xml:space="preserve">, </w:t>
            </w:r>
            <w:r w:rsidR="00157A24">
              <w:rPr>
                <w:color w:val="000000"/>
              </w:rPr>
              <w:t xml:space="preserve">SIA </w:t>
            </w:r>
            <w:r w:rsidR="00CD169F">
              <w:rPr>
                <w:color w:val="000000"/>
              </w:rPr>
              <w:t>"</w:t>
            </w:r>
            <w:r w:rsidR="00157A24">
              <w:rPr>
                <w:color w:val="000000"/>
              </w:rPr>
              <w:t xml:space="preserve">Microsoft </w:t>
            </w:r>
            <w:proofErr w:type="spellStart"/>
            <w:r w:rsidR="00157A24">
              <w:rPr>
                <w:color w:val="000000"/>
              </w:rPr>
              <w:t>Latvia</w:t>
            </w:r>
            <w:proofErr w:type="spellEnd"/>
            <w:r w:rsidR="00CD169F">
              <w:rPr>
                <w:color w:val="000000"/>
              </w:rPr>
              <w:t>"</w:t>
            </w:r>
            <w:r w:rsidR="00157A24">
              <w:rPr>
                <w:color w:val="000000"/>
              </w:rPr>
              <w:t xml:space="preserve">, </w:t>
            </w:r>
            <w:r w:rsidRPr="00C51FC2">
              <w:rPr>
                <w:color w:val="000000"/>
              </w:rPr>
              <w:t>Sabiedrības integrācijas fonda</w:t>
            </w:r>
            <w:r>
              <w:rPr>
                <w:color w:val="000000"/>
              </w:rPr>
              <w:t xml:space="preserve">, Tieslietu ministrijas, </w:t>
            </w:r>
            <w:r w:rsidRPr="00C51FC2">
              <w:rPr>
                <w:color w:val="000000"/>
              </w:rPr>
              <w:t>Valsts i</w:t>
            </w:r>
            <w:r>
              <w:rPr>
                <w:color w:val="000000"/>
              </w:rPr>
              <w:t xml:space="preserve">zglītības attīstības aģentūras, </w:t>
            </w:r>
            <w:r w:rsidRPr="00C16273">
              <w:rPr>
                <w:rFonts w:eastAsia="Times New Roman" w:cs="Times New Roman"/>
                <w:szCs w:val="24"/>
                <w:lang w:eastAsia="lv-LV"/>
              </w:rPr>
              <w:t>Valsts kancelejas</w:t>
            </w:r>
            <w:r>
              <w:rPr>
                <w:rFonts w:eastAsia="Times New Roman" w:cs="Times New Roman"/>
                <w:szCs w:val="24"/>
                <w:lang w:eastAsia="lv-LV"/>
              </w:rPr>
              <w:t>,</w:t>
            </w:r>
            <w:r>
              <w:rPr>
                <w:color w:val="000000"/>
              </w:rPr>
              <w:t xml:space="preserve"> Valsts probācijas dienesta, </w:t>
            </w:r>
            <w:r w:rsidRPr="00C51FC2">
              <w:rPr>
                <w:color w:val="000000"/>
              </w:rPr>
              <w:t>Valsts reģionālās attīstības aģentūras</w:t>
            </w:r>
            <w:r>
              <w:rPr>
                <w:color w:val="000000"/>
              </w:rPr>
              <w:t>, Veselības ministrijas</w:t>
            </w:r>
            <w:r w:rsidR="00FE0875">
              <w:rPr>
                <w:color w:val="000000"/>
              </w:rPr>
              <w:t xml:space="preserve"> un</w:t>
            </w:r>
            <w:r>
              <w:rPr>
                <w:color w:val="000000"/>
              </w:rPr>
              <w:t xml:space="preserve"> Zemkopības ministrijas</w:t>
            </w:r>
          </w:p>
        </w:tc>
      </w:tr>
      <w:tr w:rsidR="00EA5E16" w:rsidRPr="00520485" w14:paraId="2D29CF6F" w14:textId="77777777" w:rsidTr="00AA3252">
        <w:tc>
          <w:tcPr>
            <w:tcW w:w="426" w:type="dxa"/>
          </w:tcPr>
          <w:p w14:paraId="2D29CF6C" w14:textId="77777777" w:rsidR="00EA5E16" w:rsidRPr="00520485" w:rsidRDefault="00EA5E16" w:rsidP="00AA3252">
            <w:pPr>
              <w:pStyle w:val="naisnod"/>
              <w:spacing w:before="0" w:after="0"/>
              <w:ind w:left="34" w:right="-8"/>
              <w:jc w:val="both"/>
            </w:pPr>
            <w:r w:rsidRPr="00520485">
              <w:t>4.</w:t>
            </w:r>
          </w:p>
        </w:tc>
        <w:tc>
          <w:tcPr>
            <w:tcW w:w="2835" w:type="dxa"/>
          </w:tcPr>
          <w:p w14:paraId="2D29CF6D" w14:textId="77777777" w:rsidR="00EA5E16" w:rsidRPr="001C020C" w:rsidRDefault="00613DAF" w:rsidP="00EA5E16">
            <w:pPr>
              <w:rPr>
                <w:rFonts w:eastAsia="Times New Roman" w:cs="Times New Roman"/>
                <w:szCs w:val="24"/>
                <w:lang w:eastAsia="lv-LV"/>
              </w:rPr>
            </w:pPr>
            <w:r w:rsidRPr="00613DAF">
              <w:rPr>
                <w:rFonts w:eastAsia="Times New Roman" w:cs="Times New Roman"/>
                <w:szCs w:val="24"/>
                <w:lang w:eastAsia="lv-LV"/>
              </w:rPr>
              <w:t>Cita informācija</w:t>
            </w:r>
          </w:p>
        </w:tc>
        <w:tc>
          <w:tcPr>
            <w:tcW w:w="5918" w:type="dxa"/>
          </w:tcPr>
          <w:p w14:paraId="2D29CF6E" w14:textId="77777777" w:rsidR="00D203EF" w:rsidRPr="0057504B" w:rsidRDefault="00C16273" w:rsidP="00EC72CE">
            <w:pPr>
              <w:pStyle w:val="Nobeigums"/>
              <w:ind w:right="81"/>
              <w:jc w:val="both"/>
              <w:rPr>
                <w:szCs w:val="23"/>
                <w:lang w:val="lv-LV" w:eastAsia="ru-RU"/>
              </w:rPr>
            </w:pPr>
            <w:r w:rsidRPr="001C020C">
              <w:rPr>
                <w:lang w:val="lv-LV"/>
              </w:rPr>
              <w:t>Nav</w:t>
            </w:r>
          </w:p>
        </w:tc>
      </w:tr>
    </w:tbl>
    <w:p w14:paraId="2D29CF70" w14:textId="77777777" w:rsidR="00613DAF" w:rsidRDefault="00613DAF" w:rsidP="007328C2">
      <w:pPr>
        <w:spacing w:before="60" w:after="60"/>
        <w:jc w:val="both"/>
        <w:outlineLvl w:val="3"/>
        <w:rPr>
          <w:b/>
        </w:rPr>
      </w:pPr>
    </w:p>
    <w:tbl>
      <w:tblPr>
        <w:tblpPr w:leftFromText="180" w:rightFromText="180" w:vertAnchor="text" w:horzAnchor="margin" w:tblpXSpec="center" w:tblpY="11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44"/>
        <w:gridCol w:w="6081"/>
      </w:tblGrid>
      <w:tr w:rsidR="00613DAF" w:rsidRPr="00DD49B6" w14:paraId="2D29CF73" w14:textId="77777777" w:rsidTr="00077964">
        <w:trPr>
          <w:trHeight w:val="556"/>
        </w:trPr>
        <w:tc>
          <w:tcPr>
            <w:tcW w:w="9356" w:type="dxa"/>
            <w:gridSpan w:val="3"/>
            <w:vAlign w:val="center"/>
          </w:tcPr>
          <w:p w14:paraId="2D29CF71" w14:textId="77777777" w:rsidR="00613DAF" w:rsidRPr="00DD49B6" w:rsidRDefault="00613DAF" w:rsidP="00077964">
            <w:pPr>
              <w:pStyle w:val="naisnod"/>
              <w:spacing w:before="0" w:after="0"/>
              <w:ind w:left="57" w:right="57"/>
              <w:rPr>
                <w:b w:val="0"/>
              </w:rPr>
            </w:pPr>
            <w:r w:rsidRPr="00DD49B6">
              <w:t>II. Tiesību akta projekta ietekme uz sabiedrību, tautsaimniecības attīstību</w:t>
            </w:r>
          </w:p>
          <w:p w14:paraId="2D29CF72" w14:textId="77777777" w:rsidR="00613DAF" w:rsidRPr="00DD49B6" w:rsidRDefault="00613DAF" w:rsidP="00077964">
            <w:pPr>
              <w:pStyle w:val="naisnod"/>
              <w:spacing w:before="0" w:after="0"/>
              <w:ind w:left="57" w:right="57"/>
              <w:rPr>
                <w:b w:val="0"/>
              </w:rPr>
            </w:pPr>
            <w:r w:rsidRPr="00DD49B6">
              <w:t>un administratīvo slogu</w:t>
            </w:r>
          </w:p>
        </w:tc>
      </w:tr>
      <w:tr w:rsidR="00613DAF" w:rsidRPr="00DD49B6" w14:paraId="2D29CF77" w14:textId="77777777" w:rsidTr="000A6CBA">
        <w:trPr>
          <w:trHeight w:val="467"/>
        </w:trPr>
        <w:tc>
          <w:tcPr>
            <w:tcW w:w="431" w:type="dxa"/>
          </w:tcPr>
          <w:p w14:paraId="2D29CF74" w14:textId="77777777" w:rsidR="00613DAF" w:rsidRPr="00DD49B6" w:rsidRDefault="00613DAF" w:rsidP="00AA3252">
            <w:pPr>
              <w:pStyle w:val="naisnod"/>
              <w:spacing w:before="0" w:after="0"/>
              <w:ind w:left="57" w:right="57"/>
              <w:jc w:val="both"/>
            </w:pPr>
            <w:r w:rsidRPr="00DD49B6">
              <w:t>1.</w:t>
            </w:r>
          </w:p>
        </w:tc>
        <w:tc>
          <w:tcPr>
            <w:tcW w:w="2844" w:type="dxa"/>
          </w:tcPr>
          <w:p w14:paraId="2D29CF75" w14:textId="77777777" w:rsidR="00613DAF" w:rsidRPr="00DD49B6" w:rsidRDefault="00613DAF" w:rsidP="00077964">
            <w:pPr>
              <w:pStyle w:val="naiskr"/>
              <w:spacing w:before="0" w:after="0"/>
              <w:ind w:left="57" w:right="57"/>
            </w:pPr>
            <w:r w:rsidRPr="00DD49B6">
              <w:t xml:space="preserve">Sabiedrības mērķgrupas, kuras tiesiskais regulējums </w:t>
            </w:r>
            <w:r w:rsidRPr="00DD49B6">
              <w:lastRenderedPageBreak/>
              <w:t>ietekmē vai varētu ietekmēt</w:t>
            </w:r>
          </w:p>
        </w:tc>
        <w:tc>
          <w:tcPr>
            <w:tcW w:w="6081" w:type="dxa"/>
          </w:tcPr>
          <w:p w14:paraId="2D29CF76" w14:textId="6DE8ABDB" w:rsidR="00613DAF" w:rsidRPr="00DD49B6" w:rsidRDefault="00035924" w:rsidP="009B1641">
            <w:pPr>
              <w:shd w:val="clear" w:color="auto" w:fill="FFFFFF"/>
              <w:ind w:left="57" w:right="57"/>
              <w:jc w:val="both"/>
            </w:pPr>
            <w:bookmarkStart w:id="0" w:name="p21"/>
            <w:bookmarkEnd w:id="0"/>
            <w:r>
              <w:lastRenderedPageBreak/>
              <w:t xml:space="preserve">Instrukcijas projektā iekļautas tiesību normas, kas </w:t>
            </w:r>
            <w:r w:rsidR="003C1570">
              <w:t>tieši ietekmē valsts tiešās pārvaldes iestādes, kas slēdz ā</w:t>
            </w:r>
            <w:r w:rsidR="003C1570" w:rsidRPr="003C1570">
              <w:t xml:space="preserve">rvalstu </w:t>
            </w:r>
            <w:r w:rsidR="003C1570" w:rsidRPr="003C1570">
              <w:lastRenderedPageBreak/>
              <w:t>finanšu instrumentu finansētu</w:t>
            </w:r>
            <w:r w:rsidR="003C1570">
              <w:t>s</w:t>
            </w:r>
            <w:r w:rsidR="003C1570" w:rsidRPr="003C1570">
              <w:t xml:space="preserve"> civiltiesisku</w:t>
            </w:r>
            <w:r w:rsidR="003C1570">
              <w:t>s</w:t>
            </w:r>
            <w:r w:rsidR="003C1570" w:rsidRPr="003C1570">
              <w:t xml:space="preserve"> līgumu</w:t>
            </w:r>
            <w:r w:rsidR="003C1570">
              <w:t>s.</w:t>
            </w:r>
            <w:r w:rsidR="006050D9">
              <w:t xml:space="preserve"> Projektā paredzētais regulējums pakārtoti ietekmēs</w:t>
            </w:r>
            <w:r w:rsidR="0004758B">
              <w:t xml:space="preserve"> subjektus, ar kuriem valsts tiešās pārvaldes iestādes slēdz ā</w:t>
            </w:r>
            <w:r w:rsidR="0004758B" w:rsidRPr="003C1570">
              <w:t>rvalstu finanšu instrumentu finansētu</w:t>
            </w:r>
            <w:r w:rsidR="0004758B">
              <w:t>s</w:t>
            </w:r>
            <w:r w:rsidR="0004758B" w:rsidRPr="003C1570">
              <w:t xml:space="preserve"> civiltiesisku</w:t>
            </w:r>
            <w:r w:rsidR="0004758B">
              <w:t>s</w:t>
            </w:r>
            <w:r w:rsidR="0004758B" w:rsidRPr="003C1570">
              <w:t xml:space="preserve"> līgumu</w:t>
            </w:r>
            <w:r w:rsidR="0004758B">
              <w:t>s</w:t>
            </w:r>
          </w:p>
        </w:tc>
      </w:tr>
      <w:tr w:rsidR="00613DAF" w:rsidRPr="00DD49B6" w14:paraId="2D29CF7F" w14:textId="77777777" w:rsidTr="000A6CBA">
        <w:trPr>
          <w:trHeight w:val="523"/>
        </w:trPr>
        <w:tc>
          <w:tcPr>
            <w:tcW w:w="431" w:type="dxa"/>
          </w:tcPr>
          <w:p w14:paraId="2D29CF78" w14:textId="77777777" w:rsidR="00613DAF" w:rsidRPr="00DD49B6" w:rsidRDefault="00035924" w:rsidP="00AA3252">
            <w:pPr>
              <w:pStyle w:val="naisnod"/>
              <w:spacing w:before="0" w:after="0"/>
              <w:ind w:left="57" w:right="57"/>
              <w:jc w:val="both"/>
            </w:pPr>
            <w:r>
              <w:lastRenderedPageBreak/>
              <w:t xml:space="preserve"> </w:t>
            </w:r>
            <w:r w:rsidR="00434B2E">
              <w:t>2.</w:t>
            </w:r>
          </w:p>
        </w:tc>
        <w:tc>
          <w:tcPr>
            <w:tcW w:w="2844" w:type="dxa"/>
          </w:tcPr>
          <w:p w14:paraId="2D29CF79" w14:textId="77777777" w:rsidR="00613DAF" w:rsidRPr="00DD49B6" w:rsidRDefault="00613DAF" w:rsidP="00077964">
            <w:pPr>
              <w:pStyle w:val="naiskr"/>
              <w:spacing w:before="0" w:after="0"/>
              <w:ind w:left="57" w:right="57"/>
            </w:pPr>
            <w:r w:rsidRPr="00DD49B6">
              <w:t>Tiesiskā regulējuma ietekme uz tautsaimniecību un administratīvo slogu</w:t>
            </w:r>
          </w:p>
        </w:tc>
        <w:tc>
          <w:tcPr>
            <w:tcW w:w="6081" w:type="dxa"/>
          </w:tcPr>
          <w:p w14:paraId="2D29CF7A" w14:textId="77777777" w:rsidR="00434B2E" w:rsidRDefault="00434B2E" w:rsidP="00434B2E">
            <w:pPr>
              <w:tabs>
                <w:tab w:val="left" w:pos="459"/>
              </w:tabs>
              <w:jc w:val="both"/>
            </w:pPr>
            <w:r w:rsidRPr="00434B2E">
              <w:t>Tiks atvieglota līgumslēgšanas procedūra starp komersantiem un valsts pārvaldes institūcijām</w:t>
            </w:r>
            <w:r>
              <w:t>, jo</w:t>
            </w:r>
            <w:r w:rsidR="00031129">
              <w:t xml:space="preserve"> </w:t>
            </w:r>
            <w:r w:rsidR="002F2F36">
              <w:t>Instrukcijas</w:t>
            </w:r>
            <w:r w:rsidR="000B1EFC">
              <w:t xml:space="preserve"> </w:t>
            </w:r>
            <w:r>
              <w:t>projekts paredz, ka</w:t>
            </w:r>
            <w:r w:rsidR="004A67A4">
              <w:t xml:space="preserve"> </w:t>
            </w:r>
            <w:r w:rsidR="000B1EFC">
              <w:t>to</w:t>
            </w:r>
            <w:r w:rsidRPr="00434B2E">
              <w:t xml:space="preserve"> piemēro pasūtītājs gadījumos, kad tas izstrādā un slēdz piegādes vai pakalpojumu līgumu, kura paredzamā līgumcena </w:t>
            </w:r>
            <w:r w:rsidR="0042629C">
              <w:t xml:space="preserve">vai tās daļa, kuru finansē ārvalstu finanšu instrumenti, </w:t>
            </w:r>
            <w:r w:rsidRPr="00434B2E">
              <w:t xml:space="preserve">ir </w:t>
            </w:r>
            <w:r w:rsidR="0042629C">
              <w:t>10</w:t>
            </w:r>
            <w:r w:rsidRPr="00434B2E">
              <w:t xml:space="preserve"> 000 </w:t>
            </w:r>
            <w:proofErr w:type="spellStart"/>
            <w:r w:rsidRPr="004A67A4">
              <w:rPr>
                <w:i/>
              </w:rPr>
              <w:t>euro</w:t>
            </w:r>
            <w:proofErr w:type="spellEnd"/>
            <w:r w:rsidRPr="00434B2E">
              <w:t xml:space="preserve"> vai lielāka</w:t>
            </w:r>
            <w:r w:rsidR="00031129">
              <w:t>,</w:t>
            </w:r>
            <w:r w:rsidRPr="00434B2E">
              <w:t xml:space="preserve"> un būvdarbu līgumu</w:t>
            </w:r>
            <w:r w:rsidR="0042629C">
              <w:t xml:space="preserve"> gadījumā</w:t>
            </w:r>
            <w:r w:rsidRPr="00434B2E">
              <w:t xml:space="preserve">  </w:t>
            </w:r>
            <w:r w:rsidR="0042629C">
              <w:t>20</w:t>
            </w:r>
            <w:r w:rsidRPr="00434B2E">
              <w:t xml:space="preserve"> 000 </w:t>
            </w:r>
            <w:proofErr w:type="spellStart"/>
            <w:r w:rsidRPr="004A67A4">
              <w:rPr>
                <w:i/>
              </w:rPr>
              <w:t>euro</w:t>
            </w:r>
            <w:proofErr w:type="spellEnd"/>
            <w:r w:rsidRPr="00434B2E">
              <w:t xml:space="preserve"> vai lielāka</w:t>
            </w:r>
            <w:r w:rsidR="004C7F6C">
              <w:t>.</w:t>
            </w:r>
          </w:p>
          <w:p w14:paraId="2D29CF7B" w14:textId="77777777" w:rsidR="00434B2E" w:rsidRDefault="00434B2E" w:rsidP="00AD3674">
            <w:pPr>
              <w:tabs>
                <w:tab w:val="left" w:pos="459"/>
              </w:tabs>
              <w:jc w:val="both"/>
            </w:pPr>
          </w:p>
          <w:p w14:paraId="2D29CF7C" w14:textId="77777777" w:rsidR="00D5498C" w:rsidRDefault="002F2F36" w:rsidP="00AD3674">
            <w:pPr>
              <w:tabs>
                <w:tab w:val="left" w:pos="459"/>
              </w:tabs>
              <w:jc w:val="both"/>
            </w:pPr>
            <w:r>
              <w:t>Instrukcijas p</w:t>
            </w:r>
            <w:r w:rsidR="00C93E56">
              <w:t xml:space="preserve">rojektā </w:t>
            </w:r>
            <w:r w:rsidR="00C93E56" w:rsidRPr="00C93E56">
              <w:t>no</w:t>
            </w:r>
            <w:r w:rsidR="00C93E56">
              <w:t>teiktas</w:t>
            </w:r>
            <w:r w:rsidR="00C93E56" w:rsidRPr="00C93E56">
              <w:t xml:space="preserve"> abu </w:t>
            </w:r>
            <w:r w:rsidR="00947F10">
              <w:t xml:space="preserve">līgumslēdzēju </w:t>
            </w:r>
            <w:r w:rsidR="00C93E56" w:rsidRPr="00C93E56">
              <w:t>pušu interesēm</w:t>
            </w:r>
            <w:r w:rsidR="00C93E56">
              <w:t xml:space="preserve"> atbilstošas un samērīgas</w:t>
            </w:r>
            <w:r w:rsidR="00C93E56" w:rsidRPr="00C93E56">
              <w:t xml:space="preserve"> prasības</w:t>
            </w:r>
            <w:r w:rsidR="00C93E56">
              <w:t>, kas ietveram</w:t>
            </w:r>
            <w:r w:rsidR="004C7F6C">
              <w:t>a</w:t>
            </w:r>
            <w:r w:rsidR="00C93E56">
              <w:t>s ārvalstu finanšu instrumentu finansētos civiltiesiskos līgumos.</w:t>
            </w:r>
          </w:p>
          <w:p w14:paraId="2D29CF7D" w14:textId="77777777" w:rsidR="00C93E56" w:rsidRDefault="00C93E56" w:rsidP="00AD3674">
            <w:pPr>
              <w:tabs>
                <w:tab w:val="left" w:pos="459"/>
              </w:tabs>
              <w:jc w:val="both"/>
            </w:pPr>
          </w:p>
          <w:p w14:paraId="2D29CF7E" w14:textId="1215E839" w:rsidR="00613DAF" w:rsidRPr="00947F10" w:rsidRDefault="00C93E56" w:rsidP="009B1641">
            <w:pPr>
              <w:tabs>
                <w:tab w:val="left" w:pos="459"/>
              </w:tabs>
              <w:jc w:val="both"/>
            </w:pPr>
            <w:r>
              <w:t>Tāpat instrukcijas nosacījumi padarīti elastīgāki</w:t>
            </w:r>
            <w:r w:rsidR="00947F10">
              <w:t xml:space="preserve">, iestrādājot tajā regulējumu, kas atbilst dažādu uzņēmējdarbības nozaru civiltiesisku līgumu slēgšanas specifikai </w:t>
            </w:r>
          </w:p>
        </w:tc>
      </w:tr>
      <w:tr w:rsidR="00613DAF" w:rsidRPr="00DD49B6" w14:paraId="2D29CF83" w14:textId="77777777" w:rsidTr="000A6CBA">
        <w:trPr>
          <w:trHeight w:val="523"/>
        </w:trPr>
        <w:tc>
          <w:tcPr>
            <w:tcW w:w="431" w:type="dxa"/>
          </w:tcPr>
          <w:p w14:paraId="2D29CF80" w14:textId="77777777" w:rsidR="00613DAF" w:rsidRPr="00DD49B6" w:rsidRDefault="00613DAF" w:rsidP="00AA3252">
            <w:pPr>
              <w:pStyle w:val="naisnod"/>
              <w:spacing w:before="0" w:after="0"/>
              <w:ind w:left="57" w:right="57"/>
              <w:jc w:val="both"/>
            </w:pPr>
            <w:r w:rsidRPr="00DD49B6">
              <w:t>3.</w:t>
            </w:r>
          </w:p>
        </w:tc>
        <w:tc>
          <w:tcPr>
            <w:tcW w:w="2844" w:type="dxa"/>
          </w:tcPr>
          <w:p w14:paraId="2D29CF81" w14:textId="77777777" w:rsidR="00613DAF" w:rsidRPr="00DD49B6" w:rsidRDefault="00613DAF" w:rsidP="00077964">
            <w:pPr>
              <w:pStyle w:val="naiskr"/>
              <w:spacing w:before="0" w:after="0"/>
              <w:ind w:left="57" w:right="57"/>
            </w:pPr>
            <w:r w:rsidRPr="00DD49B6">
              <w:t>Administratīvo izmaksu monetārs novērtējums</w:t>
            </w:r>
          </w:p>
        </w:tc>
        <w:tc>
          <w:tcPr>
            <w:tcW w:w="6081" w:type="dxa"/>
          </w:tcPr>
          <w:p w14:paraId="2D29CF82" w14:textId="77777777" w:rsidR="00613DAF" w:rsidRPr="00DD49B6" w:rsidRDefault="00613DAF" w:rsidP="00077964">
            <w:pPr>
              <w:shd w:val="clear" w:color="auto" w:fill="FFFFFF"/>
              <w:ind w:left="57" w:right="57"/>
            </w:pPr>
            <w:r>
              <w:t>Nav</w:t>
            </w:r>
          </w:p>
        </w:tc>
      </w:tr>
      <w:tr w:rsidR="00613DAF" w:rsidRPr="00DD49B6" w14:paraId="2D29CF87" w14:textId="77777777" w:rsidTr="000A6CBA">
        <w:trPr>
          <w:trHeight w:val="357"/>
        </w:trPr>
        <w:tc>
          <w:tcPr>
            <w:tcW w:w="431" w:type="dxa"/>
          </w:tcPr>
          <w:p w14:paraId="2D29CF84" w14:textId="77777777" w:rsidR="00613DAF" w:rsidRPr="00DD49B6" w:rsidRDefault="00613DAF" w:rsidP="00AA3252">
            <w:pPr>
              <w:pStyle w:val="naisnod"/>
              <w:spacing w:before="0" w:after="0"/>
              <w:ind w:left="57" w:right="57"/>
              <w:jc w:val="both"/>
            </w:pPr>
            <w:r w:rsidRPr="00DD49B6">
              <w:t>4.</w:t>
            </w:r>
          </w:p>
        </w:tc>
        <w:tc>
          <w:tcPr>
            <w:tcW w:w="2844" w:type="dxa"/>
          </w:tcPr>
          <w:p w14:paraId="2D29CF85" w14:textId="77777777" w:rsidR="00613DAF" w:rsidRPr="00DD49B6" w:rsidRDefault="00613DAF" w:rsidP="00077964">
            <w:pPr>
              <w:pStyle w:val="naiskr"/>
              <w:spacing w:before="0" w:after="0"/>
              <w:ind w:left="57" w:right="57"/>
            </w:pPr>
            <w:r w:rsidRPr="00DD49B6">
              <w:t>Cita informācija</w:t>
            </w:r>
          </w:p>
        </w:tc>
        <w:tc>
          <w:tcPr>
            <w:tcW w:w="6081" w:type="dxa"/>
          </w:tcPr>
          <w:p w14:paraId="2D29CF86" w14:textId="77777777" w:rsidR="00613DAF" w:rsidRPr="00DD49B6" w:rsidRDefault="00613DAF" w:rsidP="00077964">
            <w:pPr>
              <w:shd w:val="clear" w:color="auto" w:fill="FFFFFF"/>
              <w:ind w:left="57" w:right="57"/>
            </w:pPr>
            <w:r>
              <w:t>Nav</w:t>
            </w:r>
          </w:p>
        </w:tc>
      </w:tr>
    </w:tbl>
    <w:p w14:paraId="2D29CF88" w14:textId="77777777" w:rsidR="00613DAF" w:rsidRDefault="00613DAF" w:rsidP="00613DAF">
      <w:pPr>
        <w:spacing w:before="60" w:after="60"/>
        <w:ind w:firstLine="374"/>
        <w:jc w:val="both"/>
        <w:outlineLvl w:val="3"/>
        <w:rPr>
          <w: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739"/>
        <w:gridCol w:w="5935"/>
      </w:tblGrid>
      <w:tr w:rsidR="00E851BD" w:rsidRPr="00E851BD" w14:paraId="2D29CF8A" w14:textId="77777777" w:rsidTr="00E851BD">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9CF89" w14:textId="77777777" w:rsidR="0063610D" w:rsidRPr="00E851BD" w:rsidRDefault="00E851BD" w:rsidP="00E851BD">
            <w:pPr>
              <w:pStyle w:val="naisnod"/>
              <w:spacing w:before="0" w:after="0"/>
              <w:ind w:left="57" w:right="57"/>
            </w:pPr>
            <w:r w:rsidRPr="00E851BD">
              <w:t>VI. Sabiedrības līdzdalība un komunikācijas aktivitātes</w:t>
            </w:r>
          </w:p>
        </w:tc>
      </w:tr>
      <w:tr w:rsidR="00E851BD" w:rsidRPr="00E851BD" w14:paraId="2D29CF8E" w14:textId="77777777" w:rsidTr="00E851BD">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D29CF8B" w14:textId="77777777" w:rsidR="00E851BD" w:rsidRPr="00E851BD" w:rsidRDefault="00E851BD" w:rsidP="00E851BD">
            <w:pPr>
              <w:pStyle w:val="naisnod"/>
              <w:spacing w:before="0" w:after="0"/>
              <w:ind w:left="57" w:right="57"/>
              <w:jc w:val="both"/>
            </w:pPr>
            <w:r w:rsidRPr="00E851BD">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2D29CF8C" w14:textId="77777777" w:rsidR="00E851BD" w:rsidRPr="00E851BD" w:rsidRDefault="00E851BD" w:rsidP="00E851BD">
            <w:pPr>
              <w:pStyle w:val="naisf"/>
              <w:spacing w:before="0" w:after="0"/>
              <w:ind w:left="57" w:right="57" w:firstLine="0"/>
            </w:pPr>
            <w:r w:rsidRPr="00E851BD">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2D29CF8D" w14:textId="6D7A8954" w:rsidR="00E851BD" w:rsidRPr="00E851BD" w:rsidRDefault="00947F10" w:rsidP="009B1641">
            <w:pPr>
              <w:pStyle w:val="naisf"/>
              <w:spacing w:before="0" w:after="0"/>
              <w:ind w:left="57" w:right="57" w:firstLine="0"/>
            </w:pPr>
            <w:r w:rsidRPr="00947F10">
              <w:rPr>
                <w:color w:val="000000"/>
              </w:rPr>
              <w:t xml:space="preserve">Pēc </w:t>
            </w:r>
            <w:r w:rsidR="001337C3">
              <w:rPr>
                <w:color w:val="000000"/>
              </w:rPr>
              <w:t>instrukcijas</w:t>
            </w:r>
            <w:r w:rsidRPr="00947F10">
              <w:rPr>
                <w:color w:val="000000"/>
              </w:rPr>
              <w:t xml:space="preserve"> projekta izsludināšanas Valsts sekretāru sanāksmē </w:t>
            </w:r>
            <w:r w:rsidR="001337C3">
              <w:rPr>
                <w:color w:val="000000"/>
              </w:rPr>
              <w:t>to</w:t>
            </w:r>
            <w:r w:rsidRPr="00947F10">
              <w:rPr>
                <w:color w:val="000000"/>
              </w:rPr>
              <w:t xml:space="preserve"> vērtēs ar Valsts sekretāru sanāksmes protokollēmumu noteiktās institūcijas</w:t>
            </w:r>
          </w:p>
        </w:tc>
      </w:tr>
      <w:tr w:rsidR="00E851BD" w:rsidRPr="00E851BD" w14:paraId="2D29CF92" w14:textId="77777777" w:rsidTr="00E851BD">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D29CF8F" w14:textId="77777777" w:rsidR="00E851BD" w:rsidRPr="00E851BD" w:rsidRDefault="00E851BD" w:rsidP="00E851BD">
            <w:pPr>
              <w:pStyle w:val="naisnod"/>
              <w:spacing w:before="0" w:after="0"/>
              <w:ind w:left="57" w:right="57"/>
              <w:jc w:val="both"/>
            </w:pPr>
            <w:r w:rsidRPr="00E851BD">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2D29CF90" w14:textId="77777777" w:rsidR="00E851BD" w:rsidRPr="00E851BD" w:rsidRDefault="00E851BD" w:rsidP="00E851BD">
            <w:pPr>
              <w:pStyle w:val="naisf"/>
              <w:spacing w:before="0" w:after="0"/>
              <w:ind w:left="57" w:right="57" w:firstLine="0"/>
            </w:pPr>
            <w:r w:rsidRPr="00E851BD">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2D29CF91" w14:textId="10F34551" w:rsidR="00E851BD" w:rsidRPr="00E851BD" w:rsidRDefault="002F2F36" w:rsidP="009B1641">
            <w:pPr>
              <w:pStyle w:val="naisf"/>
              <w:spacing w:before="0" w:after="0"/>
              <w:ind w:left="57" w:right="57" w:firstLine="0"/>
            </w:pPr>
            <w:r>
              <w:t>Instrukcijas p</w:t>
            </w:r>
            <w:r w:rsidR="00E851BD">
              <w:t xml:space="preserve">rojekta izstrādē piedalījās </w:t>
            </w:r>
            <w:r w:rsidR="008B685E">
              <w:t xml:space="preserve">LIKTA </w:t>
            </w:r>
            <w:r w:rsidR="00E851BD">
              <w:t xml:space="preserve">un SIA </w:t>
            </w:r>
            <w:r w:rsidR="00CD169F">
              <w:t>"</w:t>
            </w:r>
            <w:r w:rsidR="00E851BD">
              <w:t xml:space="preserve">Microsoft </w:t>
            </w:r>
            <w:proofErr w:type="spellStart"/>
            <w:r w:rsidR="00E851BD">
              <w:t>Latvia</w:t>
            </w:r>
            <w:proofErr w:type="spellEnd"/>
            <w:r w:rsidR="00CD169F">
              <w:t>"</w:t>
            </w:r>
            <w:r w:rsidR="00E851BD">
              <w:t xml:space="preserve"> pārstāvji</w:t>
            </w:r>
          </w:p>
        </w:tc>
      </w:tr>
      <w:tr w:rsidR="00E851BD" w:rsidRPr="00E851BD" w14:paraId="2D29CF98" w14:textId="77777777" w:rsidTr="00E851BD">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D29CF93" w14:textId="77777777" w:rsidR="00E851BD" w:rsidRPr="00E851BD" w:rsidRDefault="00E851BD" w:rsidP="00E851BD">
            <w:pPr>
              <w:pStyle w:val="naisnod"/>
              <w:spacing w:before="0" w:after="0"/>
              <w:ind w:left="57" w:right="57"/>
              <w:jc w:val="both"/>
            </w:pPr>
            <w:r w:rsidRPr="00E851BD">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2D29CF94" w14:textId="77777777" w:rsidR="00E851BD" w:rsidRPr="00E851BD" w:rsidRDefault="00E851BD" w:rsidP="00E851BD">
            <w:pPr>
              <w:pStyle w:val="naisf"/>
              <w:spacing w:before="0" w:after="0"/>
              <w:ind w:left="57" w:right="57" w:firstLine="0"/>
            </w:pPr>
            <w:r w:rsidRPr="00E851BD">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2D29CF95" w14:textId="77777777" w:rsidR="002F2F36" w:rsidRDefault="003421C5" w:rsidP="005E2AA8">
            <w:pPr>
              <w:pStyle w:val="naisf"/>
              <w:spacing w:before="0" w:after="0"/>
              <w:ind w:left="57" w:right="57" w:firstLine="0"/>
            </w:pPr>
            <w:r>
              <w:t>Instrukcijas projekta izstrādes darba grupā iesaistītie s</w:t>
            </w:r>
            <w:r w:rsidR="002F2F36" w:rsidRPr="002F2F36">
              <w:t>abiedrības pārstāvj</w:t>
            </w:r>
            <w:r>
              <w:t>i</w:t>
            </w:r>
            <w:r w:rsidR="002F2F36" w:rsidRPr="002F2F36">
              <w:t xml:space="preserve"> atbalsta </w:t>
            </w:r>
            <w:r w:rsidR="002F2F36">
              <w:t xml:space="preserve">instrukcijas </w:t>
            </w:r>
            <w:r w:rsidR="002F2F36" w:rsidRPr="002F2F36">
              <w:t>projekt</w:t>
            </w:r>
            <w:r w:rsidR="002F2F36">
              <w:t>u.</w:t>
            </w:r>
          </w:p>
          <w:p w14:paraId="2D29CF96" w14:textId="77777777" w:rsidR="002F2F36" w:rsidRDefault="002F2F36" w:rsidP="005E2AA8">
            <w:pPr>
              <w:pStyle w:val="naisf"/>
              <w:spacing w:before="0" w:after="0"/>
              <w:ind w:left="57" w:right="57" w:firstLine="0"/>
            </w:pPr>
          </w:p>
          <w:p w14:paraId="2D29CF97" w14:textId="5FB6FA2F" w:rsidR="00E851BD" w:rsidRPr="00E851BD" w:rsidRDefault="00D60EB6" w:rsidP="009B1641">
            <w:pPr>
              <w:pStyle w:val="naisf"/>
              <w:spacing w:before="0" w:after="0"/>
              <w:ind w:left="57" w:right="57" w:firstLine="0"/>
            </w:pPr>
            <w:r>
              <w:t>Instrukcijas p</w:t>
            </w:r>
            <w:r w:rsidR="005E2AA8">
              <w:t>rojekta</w:t>
            </w:r>
            <w:r w:rsidR="005E2AA8" w:rsidRPr="005E2AA8">
              <w:t xml:space="preserve"> izstrādes gaitā darba grupā </w:t>
            </w:r>
            <w:r w:rsidR="005E2AA8">
              <w:t>LIK</w:t>
            </w:r>
            <w:r w:rsidR="001337C3">
              <w:t>T</w:t>
            </w:r>
            <w:r w:rsidR="005E2AA8">
              <w:t>A</w:t>
            </w:r>
            <w:r w:rsidR="005E2AA8" w:rsidRPr="005E2AA8">
              <w:t xml:space="preserve"> un SIA </w:t>
            </w:r>
            <w:r w:rsidR="00CD169F">
              <w:t>"</w:t>
            </w:r>
            <w:r w:rsidR="005E2AA8" w:rsidRPr="005E2AA8">
              <w:t xml:space="preserve">Microsoft </w:t>
            </w:r>
            <w:proofErr w:type="spellStart"/>
            <w:r w:rsidR="005E2AA8" w:rsidRPr="005E2AA8">
              <w:t>Latvia</w:t>
            </w:r>
            <w:proofErr w:type="spellEnd"/>
            <w:r w:rsidR="00CD169F">
              <w:t>"</w:t>
            </w:r>
            <w:r w:rsidR="005E2AA8">
              <w:t xml:space="preserve"> viedokļi uzklausīti un panāktas abpusējas vienošanās par tiesību normu redakcijām, kas iestrādā</w:t>
            </w:r>
            <w:r>
              <w:t>tas Instrukcijas p</w:t>
            </w:r>
            <w:r w:rsidR="005E2AA8">
              <w:t>rojektā</w:t>
            </w:r>
          </w:p>
        </w:tc>
      </w:tr>
      <w:tr w:rsidR="00E851BD" w:rsidRPr="00E851BD" w14:paraId="2D29CF9C" w14:textId="77777777" w:rsidTr="00E851BD">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D29CF99" w14:textId="77777777" w:rsidR="00E851BD" w:rsidRPr="00E851BD" w:rsidRDefault="00E851BD" w:rsidP="00E851BD">
            <w:pPr>
              <w:pStyle w:val="naisnod"/>
              <w:spacing w:before="0" w:after="0"/>
              <w:ind w:left="57" w:right="57"/>
              <w:jc w:val="both"/>
            </w:pPr>
            <w:r w:rsidRPr="00E851BD">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2D29CF9A" w14:textId="77777777" w:rsidR="00E851BD" w:rsidRPr="00E851BD" w:rsidRDefault="00E851BD" w:rsidP="00E851BD">
            <w:pPr>
              <w:pStyle w:val="naisf"/>
              <w:spacing w:before="0" w:after="0"/>
              <w:ind w:left="57" w:right="57" w:firstLine="0"/>
            </w:pPr>
            <w:r w:rsidRPr="00E851BD">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2D29CF9B" w14:textId="77777777" w:rsidR="0063610D" w:rsidRPr="00E851BD" w:rsidRDefault="00947F10" w:rsidP="00E851BD">
            <w:pPr>
              <w:pStyle w:val="naisf"/>
              <w:spacing w:before="0" w:after="0"/>
              <w:ind w:left="57" w:right="57" w:firstLine="0"/>
            </w:pPr>
            <w:r>
              <w:t>Nav</w:t>
            </w:r>
          </w:p>
        </w:tc>
      </w:tr>
    </w:tbl>
    <w:p w14:paraId="2D29CF9D" w14:textId="77777777" w:rsidR="00613DAF" w:rsidRDefault="00613DAF" w:rsidP="00613DAF">
      <w:pPr>
        <w:spacing w:before="60" w:after="60"/>
        <w:ind w:firstLine="374"/>
        <w:jc w:val="both"/>
        <w:outlineLvl w:val="3"/>
        <w:rPr>
          <w:b/>
        </w:rPr>
      </w:pPr>
    </w:p>
    <w:tbl>
      <w:tblPr>
        <w:tblW w:w="9355"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7"/>
        <w:gridCol w:w="2835"/>
        <w:gridCol w:w="6093"/>
      </w:tblGrid>
      <w:tr w:rsidR="00613DAF" w:rsidRPr="00DD49B6" w14:paraId="2D29CF9F" w14:textId="77777777" w:rsidTr="00E86B9F">
        <w:trPr>
          <w:trHeight w:val="381"/>
          <w:jc w:val="center"/>
        </w:trPr>
        <w:tc>
          <w:tcPr>
            <w:tcW w:w="9355" w:type="dxa"/>
            <w:gridSpan w:val="3"/>
            <w:vAlign w:val="center"/>
          </w:tcPr>
          <w:p w14:paraId="2D29CF9E" w14:textId="77777777" w:rsidR="00613DAF" w:rsidRPr="00DD49B6" w:rsidRDefault="00613DAF" w:rsidP="00077964">
            <w:pPr>
              <w:pStyle w:val="naisnod"/>
              <w:spacing w:before="0" w:after="0"/>
              <w:ind w:left="57" w:right="57"/>
            </w:pPr>
            <w:r w:rsidRPr="00DD49B6">
              <w:t>VII. Tiesību akta projekta izpildes nodrošināšana un tās ietekme uz institūcijām</w:t>
            </w:r>
          </w:p>
        </w:tc>
      </w:tr>
      <w:tr w:rsidR="00613DAF" w:rsidRPr="00DD49B6" w14:paraId="2D29CFA3" w14:textId="77777777" w:rsidTr="00E86B9F">
        <w:trPr>
          <w:trHeight w:val="427"/>
          <w:jc w:val="center"/>
        </w:trPr>
        <w:tc>
          <w:tcPr>
            <w:tcW w:w="427" w:type="dxa"/>
          </w:tcPr>
          <w:p w14:paraId="2D29CFA0" w14:textId="77777777" w:rsidR="00613DAF" w:rsidRPr="00DD49B6" w:rsidRDefault="00613DAF" w:rsidP="00077964">
            <w:pPr>
              <w:pStyle w:val="naisnod"/>
              <w:spacing w:before="0" w:after="0"/>
              <w:ind w:left="57" w:right="57"/>
              <w:jc w:val="both"/>
            </w:pPr>
            <w:r w:rsidRPr="00DD49B6">
              <w:t>1.</w:t>
            </w:r>
          </w:p>
        </w:tc>
        <w:tc>
          <w:tcPr>
            <w:tcW w:w="2835" w:type="dxa"/>
          </w:tcPr>
          <w:p w14:paraId="2D29CFA1" w14:textId="77777777" w:rsidR="00613DAF" w:rsidRPr="00DD49B6" w:rsidRDefault="00613DAF" w:rsidP="00DA6CFB">
            <w:pPr>
              <w:pStyle w:val="naisf"/>
              <w:spacing w:before="0" w:after="0"/>
              <w:ind w:left="57" w:right="57" w:firstLine="0"/>
            </w:pPr>
            <w:r w:rsidRPr="00DD49B6">
              <w:t>Projekta izpildē iesaistītās institūcijas</w:t>
            </w:r>
          </w:p>
        </w:tc>
        <w:tc>
          <w:tcPr>
            <w:tcW w:w="6093" w:type="dxa"/>
          </w:tcPr>
          <w:p w14:paraId="2D29CFA2" w14:textId="77777777" w:rsidR="00613DAF" w:rsidRPr="00A35DEF" w:rsidRDefault="003B793D" w:rsidP="001337C3">
            <w:pPr>
              <w:shd w:val="clear" w:color="auto" w:fill="FFFFFF"/>
              <w:jc w:val="both"/>
            </w:pPr>
            <w:bookmarkStart w:id="1" w:name="p66"/>
            <w:bookmarkStart w:id="2" w:name="p67"/>
            <w:bookmarkStart w:id="3" w:name="p68"/>
            <w:bookmarkStart w:id="4" w:name="p69"/>
            <w:bookmarkEnd w:id="1"/>
            <w:bookmarkEnd w:id="2"/>
            <w:bookmarkEnd w:id="3"/>
            <w:bookmarkEnd w:id="4"/>
            <w:r w:rsidRPr="003B793D">
              <w:t>Valsts tiešās pārvaldes iestādes, kuras izstrādā un slēdz civiltiesiskus līgumus, kuru izpildi finansē ārvalstu finanšu instrumenti, kas minēti instrukcijas</w:t>
            </w:r>
            <w:r>
              <w:t xml:space="preserve"> </w:t>
            </w:r>
            <w:r w:rsidR="001337C3">
              <w:t>projekta</w:t>
            </w:r>
            <w:r w:rsidRPr="003B793D">
              <w:t xml:space="preserve"> 1.</w:t>
            </w:r>
            <w:r w:rsidR="008D3761">
              <w:t> </w:t>
            </w:r>
            <w:r w:rsidRPr="003B793D">
              <w:t>punktā</w:t>
            </w:r>
          </w:p>
        </w:tc>
      </w:tr>
      <w:tr w:rsidR="00613DAF" w:rsidRPr="00DD49B6" w14:paraId="2D29CFA8" w14:textId="77777777" w:rsidTr="00E86B9F">
        <w:trPr>
          <w:trHeight w:val="463"/>
          <w:jc w:val="center"/>
        </w:trPr>
        <w:tc>
          <w:tcPr>
            <w:tcW w:w="427" w:type="dxa"/>
          </w:tcPr>
          <w:p w14:paraId="2D29CFA4" w14:textId="77777777" w:rsidR="00613DAF" w:rsidRPr="00DD49B6" w:rsidRDefault="00613DAF" w:rsidP="00077964">
            <w:pPr>
              <w:pStyle w:val="naisnod"/>
              <w:spacing w:before="0" w:after="0"/>
              <w:ind w:left="57" w:right="57"/>
              <w:jc w:val="both"/>
            </w:pPr>
            <w:r w:rsidRPr="00DD49B6">
              <w:t>2.</w:t>
            </w:r>
          </w:p>
        </w:tc>
        <w:tc>
          <w:tcPr>
            <w:tcW w:w="2835" w:type="dxa"/>
          </w:tcPr>
          <w:p w14:paraId="2D29CFA5" w14:textId="77777777" w:rsidR="00613DAF" w:rsidRPr="00DD49B6" w:rsidRDefault="00613DAF" w:rsidP="00DA6CFB">
            <w:pPr>
              <w:pStyle w:val="naisf"/>
              <w:spacing w:before="0" w:after="0"/>
              <w:ind w:left="57" w:right="57" w:firstLine="0"/>
            </w:pPr>
            <w:r w:rsidRPr="00DD49B6">
              <w:t>Projekta izpildes iet</w:t>
            </w:r>
            <w:r>
              <w:t>ekme uz pār</w:t>
            </w:r>
            <w:r>
              <w:softHyphen/>
              <w:t xml:space="preserve">valdes funkcijām un </w:t>
            </w:r>
            <w:r w:rsidRPr="00DD49B6">
              <w:t>institucionālo struktūru.</w:t>
            </w:r>
          </w:p>
          <w:p w14:paraId="2D29CFA6" w14:textId="09A8BB0A" w:rsidR="00613DAF" w:rsidRPr="00DD49B6" w:rsidRDefault="00613DAF" w:rsidP="009B1641">
            <w:pPr>
              <w:pStyle w:val="naisf"/>
              <w:spacing w:before="0" w:after="0"/>
              <w:ind w:left="57" w:right="57" w:firstLine="0"/>
            </w:pPr>
            <w:r w:rsidRPr="00DD49B6">
              <w:lastRenderedPageBreak/>
              <w:t>Jaunu institūciju izveide, esošu institūciju likvidācija vai reorga</w:t>
            </w:r>
            <w:r>
              <w:softHyphen/>
            </w:r>
            <w:r w:rsidRPr="00DD49B6">
              <w:t>nizācija, to ietekme uz institūcijas cilvēkresursiem</w:t>
            </w:r>
          </w:p>
        </w:tc>
        <w:tc>
          <w:tcPr>
            <w:tcW w:w="6093" w:type="dxa"/>
          </w:tcPr>
          <w:p w14:paraId="2D29CFA7" w14:textId="45A2D953" w:rsidR="00613DAF" w:rsidRPr="00DD49B6" w:rsidRDefault="003C63F4" w:rsidP="009B1641">
            <w:pPr>
              <w:shd w:val="clear" w:color="auto" w:fill="FFFFFF"/>
              <w:jc w:val="both"/>
            </w:pPr>
            <w:r>
              <w:lastRenderedPageBreak/>
              <w:t>Instrukcijas p</w:t>
            </w:r>
            <w:r w:rsidR="003421C5">
              <w:rPr>
                <w:color w:val="000000"/>
                <w:shd w:val="clear" w:color="auto" w:fill="FFFFFF"/>
              </w:rPr>
              <w:t>rojekta īstenošana tiks veikta esošo cilvēkresursu ietvaros.</w:t>
            </w:r>
            <w:r w:rsidR="003421C5" w:rsidRPr="00AA3252">
              <w:t xml:space="preserve"> </w:t>
            </w:r>
            <w:r w:rsidR="00AA3252" w:rsidRPr="00AA3252">
              <w:t xml:space="preserve">Pārvaldes funkciju apjomu </w:t>
            </w:r>
            <w:r w:rsidR="009B1641">
              <w:t>i</w:t>
            </w:r>
            <w:r>
              <w:t>nstrukcijas projekts neietekmē</w:t>
            </w:r>
            <w:r w:rsidR="008D3761">
              <w:t>,</w:t>
            </w:r>
            <w:r>
              <w:t xml:space="preserve"> tas</w:t>
            </w:r>
            <w:r w:rsidR="00AA3252" w:rsidRPr="00AA3252">
              <w:t xml:space="preserve"> neparedz </w:t>
            </w:r>
            <w:r w:rsidR="001337C3">
              <w:t xml:space="preserve">jaunu institūciju izveidi, </w:t>
            </w:r>
            <w:r w:rsidR="00AA3252" w:rsidRPr="00AA3252">
              <w:t>esoš</w:t>
            </w:r>
            <w:r w:rsidR="001337C3">
              <w:t>o</w:t>
            </w:r>
            <w:r w:rsidR="00AA3252" w:rsidRPr="00AA3252">
              <w:t xml:space="preserve"> </w:t>
            </w:r>
            <w:r w:rsidR="00AA3252" w:rsidRPr="00AA3252">
              <w:lastRenderedPageBreak/>
              <w:t>in</w:t>
            </w:r>
            <w:r w:rsidR="001337C3">
              <w:t>stitūciju likvidāciju</w:t>
            </w:r>
            <w:r w:rsidR="00AA3252" w:rsidRPr="00AA3252">
              <w:t xml:space="preserve"> vai t</w:t>
            </w:r>
            <w:r w:rsidR="001337C3">
              <w:t>o reorganizāciju</w:t>
            </w:r>
          </w:p>
        </w:tc>
      </w:tr>
      <w:tr w:rsidR="00613DAF" w:rsidRPr="00DD49B6" w14:paraId="2D29CFAC" w14:textId="77777777" w:rsidTr="00E86B9F">
        <w:trPr>
          <w:trHeight w:val="402"/>
          <w:jc w:val="center"/>
        </w:trPr>
        <w:tc>
          <w:tcPr>
            <w:tcW w:w="427" w:type="dxa"/>
            <w:tcBorders>
              <w:top w:val="single" w:sz="4" w:space="0" w:color="auto"/>
              <w:left w:val="single" w:sz="4" w:space="0" w:color="auto"/>
              <w:bottom w:val="single" w:sz="4" w:space="0" w:color="auto"/>
              <w:right w:val="single" w:sz="4" w:space="0" w:color="auto"/>
            </w:tcBorders>
          </w:tcPr>
          <w:p w14:paraId="2D29CFA9" w14:textId="77777777" w:rsidR="00613DAF" w:rsidRPr="00DD49B6" w:rsidRDefault="00613DAF" w:rsidP="00077964">
            <w:pPr>
              <w:pStyle w:val="naisnod"/>
              <w:spacing w:before="0" w:after="0"/>
              <w:ind w:left="57" w:right="57"/>
              <w:jc w:val="both"/>
            </w:pPr>
            <w:r w:rsidRPr="00DD49B6">
              <w:lastRenderedPageBreak/>
              <w:t>3.</w:t>
            </w:r>
          </w:p>
        </w:tc>
        <w:tc>
          <w:tcPr>
            <w:tcW w:w="2835" w:type="dxa"/>
            <w:tcBorders>
              <w:top w:val="single" w:sz="4" w:space="0" w:color="auto"/>
              <w:left w:val="single" w:sz="4" w:space="0" w:color="auto"/>
              <w:bottom w:val="single" w:sz="4" w:space="0" w:color="auto"/>
              <w:right w:val="single" w:sz="4" w:space="0" w:color="auto"/>
            </w:tcBorders>
          </w:tcPr>
          <w:p w14:paraId="2D29CFAA" w14:textId="77777777" w:rsidR="00613DAF" w:rsidRPr="00DD49B6" w:rsidRDefault="00613DAF" w:rsidP="00DA6CFB">
            <w:pPr>
              <w:pStyle w:val="naisf"/>
              <w:spacing w:before="0" w:after="0"/>
              <w:ind w:right="57" w:firstLine="0"/>
            </w:pPr>
            <w:r w:rsidRPr="00DD49B6">
              <w:t>Cita informācija</w:t>
            </w:r>
          </w:p>
        </w:tc>
        <w:tc>
          <w:tcPr>
            <w:tcW w:w="6093" w:type="dxa"/>
            <w:tcBorders>
              <w:top w:val="single" w:sz="4" w:space="0" w:color="auto"/>
              <w:left w:val="single" w:sz="4" w:space="0" w:color="auto"/>
              <w:bottom w:val="single" w:sz="4" w:space="0" w:color="auto"/>
              <w:right w:val="single" w:sz="4" w:space="0" w:color="auto"/>
            </w:tcBorders>
          </w:tcPr>
          <w:p w14:paraId="2D29CFAB" w14:textId="77777777" w:rsidR="00613DAF" w:rsidRPr="00DD49B6" w:rsidRDefault="00613DAF" w:rsidP="00077964">
            <w:pPr>
              <w:ind w:left="57" w:right="57"/>
              <w:jc w:val="both"/>
            </w:pPr>
            <w:r w:rsidRPr="00DD49B6">
              <w:t>Nav</w:t>
            </w:r>
          </w:p>
        </w:tc>
      </w:tr>
    </w:tbl>
    <w:p w14:paraId="2D29CFAD" w14:textId="77777777" w:rsidR="00613DAF" w:rsidRDefault="00613DAF" w:rsidP="00613DAF">
      <w:pPr>
        <w:spacing w:before="60" w:after="60"/>
        <w:ind w:firstLine="374"/>
        <w:jc w:val="both"/>
        <w:outlineLvl w:val="3"/>
        <w:rPr>
          <w:b/>
        </w:rPr>
      </w:pPr>
    </w:p>
    <w:p w14:paraId="2D29CFAE" w14:textId="77777777" w:rsidR="007A2D8A" w:rsidRPr="00CD169F" w:rsidRDefault="00C93E56" w:rsidP="007A2D8A">
      <w:pPr>
        <w:pStyle w:val="NormalWeb"/>
        <w:rPr>
          <w:sz w:val="28"/>
          <w:szCs w:val="28"/>
        </w:rPr>
      </w:pPr>
      <w:r w:rsidRPr="00CD169F">
        <w:rPr>
          <w:sz w:val="28"/>
          <w:szCs w:val="28"/>
        </w:rPr>
        <w:t xml:space="preserve">Projekts </w:t>
      </w:r>
      <w:r w:rsidR="003421C5" w:rsidRPr="00CD169F">
        <w:rPr>
          <w:sz w:val="28"/>
          <w:szCs w:val="28"/>
        </w:rPr>
        <w:t xml:space="preserve">neskar anotācijas III, IV un V </w:t>
      </w:r>
      <w:r w:rsidRPr="00CD169F">
        <w:rPr>
          <w:sz w:val="28"/>
          <w:szCs w:val="28"/>
        </w:rPr>
        <w:t>sadaļā minētās jomas.</w:t>
      </w:r>
    </w:p>
    <w:p w14:paraId="2D29CFAF" w14:textId="77777777" w:rsidR="00A91FEA" w:rsidRPr="00CD169F" w:rsidRDefault="00A91FEA" w:rsidP="00D72AC2">
      <w:pPr>
        <w:pStyle w:val="Signature"/>
        <w:widowControl/>
        <w:tabs>
          <w:tab w:val="left" w:pos="6820"/>
        </w:tabs>
        <w:spacing w:before="0"/>
        <w:ind w:firstLine="0"/>
        <w:rPr>
          <w:sz w:val="28"/>
          <w:szCs w:val="28"/>
          <w:lang w:val="lv-LV"/>
        </w:rPr>
      </w:pPr>
    </w:p>
    <w:p w14:paraId="6BF024B2" w14:textId="77777777" w:rsidR="00CD169F" w:rsidRPr="00CD169F" w:rsidRDefault="00CD169F" w:rsidP="00CD169F">
      <w:pPr>
        <w:pStyle w:val="EnvelopeReturn"/>
        <w:rPr>
          <w:sz w:val="28"/>
          <w:szCs w:val="28"/>
        </w:rPr>
      </w:pPr>
    </w:p>
    <w:p w14:paraId="76BCAFB4" w14:textId="77777777" w:rsidR="00CD169F" w:rsidRPr="00CD169F" w:rsidRDefault="00CD169F" w:rsidP="00CD169F">
      <w:pPr>
        <w:pStyle w:val="EnvelopeReturn"/>
        <w:rPr>
          <w:sz w:val="28"/>
          <w:szCs w:val="28"/>
        </w:rPr>
      </w:pPr>
    </w:p>
    <w:p w14:paraId="2D29CFB0" w14:textId="6E09DC90" w:rsidR="00D72AC2" w:rsidRPr="00CD169F" w:rsidRDefault="00D72AC2" w:rsidP="00D72AC2">
      <w:pPr>
        <w:pStyle w:val="Signature"/>
        <w:widowControl/>
        <w:tabs>
          <w:tab w:val="left" w:pos="6820"/>
        </w:tabs>
        <w:spacing w:before="0"/>
        <w:ind w:firstLine="0"/>
        <w:rPr>
          <w:sz w:val="28"/>
          <w:szCs w:val="28"/>
          <w:lang w:val="lv-LV"/>
        </w:rPr>
      </w:pPr>
      <w:r w:rsidRPr="00CD169F">
        <w:rPr>
          <w:sz w:val="28"/>
          <w:szCs w:val="28"/>
          <w:lang w:val="lv-LV"/>
        </w:rPr>
        <w:t>Ministru prezident</w:t>
      </w:r>
      <w:r w:rsidR="00FF3808" w:rsidRPr="00CD169F">
        <w:rPr>
          <w:sz w:val="28"/>
          <w:szCs w:val="28"/>
          <w:lang w:val="lv-LV"/>
        </w:rPr>
        <w:t>s</w:t>
      </w:r>
      <w:r w:rsidRPr="00CD169F">
        <w:rPr>
          <w:sz w:val="28"/>
          <w:szCs w:val="28"/>
          <w:lang w:val="lv-LV"/>
        </w:rPr>
        <w:tab/>
      </w:r>
      <w:r w:rsidR="00CD169F" w:rsidRPr="00CD169F">
        <w:rPr>
          <w:sz w:val="28"/>
          <w:szCs w:val="28"/>
          <w:lang w:val="lv-LV"/>
        </w:rPr>
        <w:t xml:space="preserve">Māris </w:t>
      </w:r>
      <w:r w:rsidR="00FF3808" w:rsidRPr="00CD169F">
        <w:rPr>
          <w:sz w:val="28"/>
          <w:szCs w:val="28"/>
          <w:lang w:val="lv-LV"/>
        </w:rPr>
        <w:t>Kučinskis</w:t>
      </w:r>
    </w:p>
    <w:p w14:paraId="2D29CFB1" w14:textId="77777777" w:rsidR="00D72AC2" w:rsidRPr="00CD169F" w:rsidRDefault="00D72AC2" w:rsidP="00D72AC2">
      <w:pPr>
        <w:pStyle w:val="EnvelopeReturn"/>
        <w:rPr>
          <w:sz w:val="28"/>
          <w:szCs w:val="28"/>
        </w:rPr>
      </w:pPr>
    </w:p>
    <w:p w14:paraId="3FAD93F0" w14:textId="77777777" w:rsidR="00CD169F" w:rsidRPr="00CD169F" w:rsidRDefault="00CD169F" w:rsidP="00D72AC2">
      <w:pPr>
        <w:pStyle w:val="EnvelopeReturn"/>
        <w:rPr>
          <w:sz w:val="28"/>
          <w:szCs w:val="28"/>
        </w:rPr>
      </w:pPr>
    </w:p>
    <w:p w14:paraId="2D29CFB2" w14:textId="77777777" w:rsidR="00A91FEA" w:rsidRPr="00CD169F" w:rsidRDefault="00A91FEA" w:rsidP="00D72AC2">
      <w:pPr>
        <w:pStyle w:val="Signature"/>
        <w:widowControl/>
        <w:tabs>
          <w:tab w:val="left" w:pos="6820"/>
        </w:tabs>
        <w:spacing w:before="0"/>
        <w:ind w:firstLine="0"/>
        <w:rPr>
          <w:sz w:val="28"/>
          <w:szCs w:val="28"/>
          <w:lang w:val="lv-LV"/>
        </w:rPr>
      </w:pPr>
    </w:p>
    <w:p w14:paraId="0B5F6060" w14:textId="77777777" w:rsidR="00CD169F" w:rsidRPr="00CD169F" w:rsidRDefault="00D72AC2" w:rsidP="00D72AC2">
      <w:pPr>
        <w:pStyle w:val="Signature"/>
        <w:widowControl/>
        <w:tabs>
          <w:tab w:val="left" w:pos="6820"/>
        </w:tabs>
        <w:spacing w:before="0"/>
        <w:ind w:firstLine="0"/>
        <w:rPr>
          <w:sz w:val="28"/>
          <w:szCs w:val="28"/>
          <w:lang w:val="lv-LV"/>
        </w:rPr>
      </w:pPr>
      <w:r w:rsidRPr="00CD169F">
        <w:rPr>
          <w:sz w:val="28"/>
          <w:szCs w:val="28"/>
          <w:lang w:val="lv-LV"/>
        </w:rPr>
        <w:t xml:space="preserve">Vizē: </w:t>
      </w:r>
    </w:p>
    <w:p w14:paraId="2D29CFB3" w14:textId="3B4F6480" w:rsidR="00D72AC2" w:rsidRPr="00CD169F" w:rsidRDefault="00D72AC2" w:rsidP="00D72AC2">
      <w:pPr>
        <w:pStyle w:val="Signature"/>
        <w:widowControl/>
        <w:tabs>
          <w:tab w:val="left" w:pos="6820"/>
        </w:tabs>
        <w:spacing w:before="0"/>
        <w:ind w:firstLine="0"/>
        <w:rPr>
          <w:sz w:val="28"/>
          <w:szCs w:val="28"/>
          <w:lang w:val="lv-LV"/>
        </w:rPr>
      </w:pPr>
      <w:r w:rsidRPr="00CD169F">
        <w:rPr>
          <w:sz w:val="28"/>
          <w:szCs w:val="28"/>
          <w:lang w:val="lv-LV"/>
        </w:rPr>
        <w:t>Valsts kancelejas direktor</w:t>
      </w:r>
      <w:r w:rsidR="00CD169F" w:rsidRPr="00CD169F">
        <w:rPr>
          <w:sz w:val="28"/>
          <w:szCs w:val="28"/>
          <w:lang w:val="lv-LV"/>
        </w:rPr>
        <w:t>s __</w:t>
      </w:r>
      <w:r w:rsidR="00CD169F">
        <w:rPr>
          <w:sz w:val="28"/>
          <w:szCs w:val="28"/>
          <w:lang w:val="lv-LV"/>
        </w:rPr>
        <w:t>_________________________</w:t>
      </w:r>
      <w:r w:rsidR="00FF3808" w:rsidRPr="00CD169F">
        <w:rPr>
          <w:sz w:val="28"/>
          <w:szCs w:val="28"/>
          <w:lang w:val="lv-LV"/>
        </w:rPr>
        <w:t>M</w:t>
      </w:r>
      <w:r w:rsidR="00CD169F" w:rsidRPr="00CD169F">
        <w:rPr>
          <w:sz w:val="28"/>
          <w:szCs w:val="28"/>
          <w:lang w:val="lv-LV"/>
        </w:rPr>
        <w:t>ārtiņš</w:t>
      </w:r>
      <w:r w:rsidR="00FF3808" w:rsidRPr="00CD169F">
        <w:rPr>
          <w:sz w:val="28"/>
          <w:szCs w:val="28"/>
          <w:lang w:val="lv-LV"/>
        </w:rPr>
        <w:t xml:space="preserve"> Krieviņš</w:t>
      </w:r>
    </w:p>
    <w:p w14:paraId="2D29CFB4" w14:textId="77777777" w:rsidR="00D72AC2" w:rsidRDefault="00D72AC2" w:rsidP="00BB2495">
      <w:pPr>
        <w:tabs>
          <w:tab w:val="center" w:pos="4153"/>
          <w:tab w:val="right" w:pos="8306"/>
        </w:tabs>
        <w:rPr>
          <w:sz w:val="18"/>
          <w:szCs w:val="20"/>
        </w:rPr>
      </w:pPr>
    </w:p>
    <w:p w14:paraId="6DCB1B8C" w14:textId="77777777" w:rsidR="00CD169F" w:rsidRDefault="00CD169F" w:rsidP="00BB2495">
      <w:pPr>
        <w:tabs>
          <w:tab w:val="center" w:pos="4153"/>
          <w:tab w:val="right" w:pos="8306"/>
        </w:tabs>
        <w:rPr>
          <w:sz w:val="18"/>
          <w:szCs w:val="20"/>
        </w:rPr>
      </w:pPr>
    </w:p>
    <w:p w14:paraId="2D29CFB5" w14:textId="77777777" w:rsidR="00D72AC2" w:rsidRDefault="00D72AC2" w:rsidP="00BB2495">
      <w:pPr>
        <w:tabs>
          <w:tab w:val="center" w:pos="4153"/>
          <w:tab w:val="right" w:pos="8306"/>
        </w:tabs>
        <w:rPr>
          <w:sz w:val="18"/>
          <w:szCs w:val="20"/>
        </w:rPr>
      </w:pPr>
    </w:p>
    <w:p w14:paraId="2D29CFB6" w14:textId="77777777" w:rsidR="00600DB2" w:rsidRPr="00CD169F" w:rsidRDefault="00600DB2" w:rsidP="00600DB2">
      <w:pPr>
        <w:jc w:val="both"/>
        <w:rPr>
          <w:color w:val="000000"/>
          <w:szCs w:val="24"/>
        </w:rPr>
      </w:pPr>
      <w:r w:rsidRPr="00CD169F">
        <w:rPr>
          <w:color w:val="000000"/>
          <w:szCs w:val="24"/>
        </w:rPr>
        <w:fldChar w:fldCharType="begin"/>
      </w:r>
      <w:r w:rsidRPr="00CD169F">
        <w:rPr>
          <w:color w:val="000000"/>
          <w:szCs w:val="24"/>
        </w:rPr>
        <w:instrText xml:space="preserve"> TIME  \@ "yyyy.MM.dd. H:mm"  \* MERGEFORMAT </w:instrText>
      </w:r>
      <w:r w:rsidRPr="00CD169F">
        <w:rPr>
          <w:color w:val="000000"/>
          <w:szCs w:val="24"/>
        </w:rPr>
        <w:fldChar w:fldCharType="separate"/>
      </w:r>
      <w:r w:rsidR="0015120C">
        <w:rPr>
          <w:noProof/>
          <w:color w:val="000000"/>
          <w:szCs w:val="24"/>
        </w:rPr>
        <w:t>2016.08.29. 13:30</w:t>
      </w:r>
      <w:r w:rsidRPr="00CD169F">
        <w:rPr>
          <w:color w:val="000000"/>
          <w:szCs w:val="24"/>
        </w:rPr>
        <w:fldChar w:fldCharType="end"/>
      </w:r>
    </w:p>
    <w:p w14:paraId="2D29CFB7" w14:textId="042444CE" w:rsidR="00BB2495" w:rsidRPr="00CD169F" w:rsidRDefault="00F24497" w:rsidP="00BB2495">
      <w:pPr>
        <w:tabs>
          <w:tab w:val="center" w:pos="4153"/>
          <w:tab w:val="right" w:pos="8306"/>
        </w:tabs>
        <w:rPr>
          <w:szCs w:val="24"/>
        </w:rPr>
      </w:pPr>
      <w:r>
        <w:rPr>
          <w:szCs w:val="24"/>
        </w:rPr>
        <w:t>293</w:t>
      </w:r>
      <w:r w:rsidR="00753C39">
        <w:rPr>
          <w:szCs w:val="24"/>
        </w:rPr>
        <w:t>5</w:t>
      </w:r>
    </w:p>
    <w:p w14:paraId="2D29CFB8" w14:textId="77777777" w:rsidR="00BB2495" w:rsidRPr="00CD169F" w:rsidRDefault="00BB2495" w:rsidP="00BB2495">
      <w:pPr>
        <w:tabs>
          <w:tab w:val="center" w:pos="4153"/>
          <w:tab w:val="right" w:pos="8306"/>
        </w:tabs>
        <w:rPr>
          <w:szCs w:val="24"/>
        </w:rPr>
      </w:pPr>
      <w:r w:rsidRPr="00CD169F">
        <w:rPr>
          <w:szCs w:val="24"/>
        </w:rPr>
        <w:t>Edgars Rezebergs, 67082913</w:t>
      </w:r>
    </w:p>
    <w:p w14:paraId="2D29CFB9" w14:textId="5AD9EE99" w:rsidR="00231E12" w:rsidRPr="00CD169F" w:rsidRDefault="00BB2495" w:rsidP="00943895">
      <w:pPr>
        <w:tabs>
          <w:tab w:val="center" w:pos="4153"/>
          <w:tab w:val="right" w:pos="8306"/>
        </w:tabs>
        <w:rPr>
          <w:rFonts w:eastAsia="Times New Roman" w:cs="Times New Roman"/>
          <w:color w:val="000000"/>
          <w:szCs w:val="24"/>
          <w:lang w:eastAsia="lv-LV"/>
        </w:rPr>
      </w:pPr>
      <w:r w:rsidRPr="00CD169F">
        <w:rPr>
          <w:szCs w:val="24"/>
        </w:rPr>
        <w:t>edgars.rezebergs@mk</w:t>
      </w:r>
      <w:r w:rsidR="0015120C">
        <w:rPr>
          <w:szCs w:val="24"/>
        </w:rPr>
        <w:t>.</w:t>
      </w:r>
      <w:r w:rsidR="00CD169F" w:rsidRPr="00CD169F">
        <w:rPr>
          <w:szCs w:val="24"/>
        </w:rPr>
        <w:t>g</w:t>
      </w:r>
      <w:r w:rsidRPr="00CD169F">
        <w:rPr>
          <w:szCs w:val="24"/>
        </w:rPr>
        <w:t>ov.lv</w:t>
      </w:r>
      <w:bookmarkStart w:id="5" w:name="_GoBack"/>
      <w:bookmarkEnd w:id="5"/>
      <w:r w:rsidR="00903497" w:rsidRPr="00CD169F">
        <w:rPr>
          <w:szCs w:val="24"/>
        </w:rPr>
        <w:t xml:space="preserve"> </w:t>
      </w:r>
    </w:p>
    <w:sectPr w:rsidR="00231E12" w:rsidRPr="00CD169F" w:rsidSect="00CD169F">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9CFBC" w14:textId="77777777" w:rsidR="00EF7826" w:rsidRDefault="00EF7826">
      <w:r>
        <w:separator/>
      </w:r>
    </w:p>
  </w:endnote>
  <w:endnote w:type="continuationSeparator" w:id="0">
    <w:p w14:paraId="2D29CFBD" w14:textId="77777777" w:rsidR="00EF7826" w:rsidRDefault="00EF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CFBF" w14:textId="24FADD04" w:rsidR="00BE00A5" w:rsidRPr="00F0748A" w:rsidRDefault="00F0748A" w:rsidP="00F0748A">
    <w:pPr>
      <w:jc w:val="both"/>
      <w:rPr>
        <w:noProof/>
        <w:sz w:val="16"/>
        <w:szCs w:val="16"/>
      </w:rPr>
    </w:pPr>
    <w:r w:rsidRPr="00BE00A5">
      <w:rPr>
        <w:sz w:val="16"/>
        <w:szCs w:val="16"/>
      </w:rPr>
      <w:fldChar w:fldCharType="begin"/>
    </w:r>
    <w:r w:rsidRPr="00BE00A5">
      <w:rPr>
        <w:sz w:val="16"/>
        <w:szCs w:val="16"/>
      </w:rPr>
      <w:instrText xml:space="preserve"> FILENAME   \* MERGEFORMAT </w:instrText>
    </w:r>
    <w:r w:rsidRPr="00BE00A5">
      <w:rPr>
        <w:sz w:val="16"/>
        <w:szCs w:val="16"/>
      </w:rPr>
      <w:fldChar w:fldCharType="separate"/>
    </w:r>
    <w:r w:rsidR="00B77771">
      <w:rPr>
        <w:noProof/>
        <w:sz w:val="16"/>
        <w:szCs w:val="16"/>
      </w:rPr>
      <w:t>MKinst_Anot_VSS_274 1608201620160817153913</w:t>
    </w:r>
    <w:r w:rsidRPr="00BE00A5">
      <w:rPr>
        <w:sz w:val="16"/>
        <w:szCs w:val="16"/>
      </w:rPr>
      <w:fldChar w:fldCharType="end"/>
    </w:r>
    <w:r>
      <w:rPr>
        <w:sz w:val="16"/>
        <w:szCs w:val="16"/>
      </w:rPr>
      <w:t>6</w:t>
    </w:r>
    <w:r w:rsidRPr="00BE00A5">
      <w:rPr>
        <w:sz w:val="16"/>
        <w:szCs w:val="16"/>
      </w:rPr>
      <w:t>; Ministru kabineta instrukcijas projekt</w:t>
    </w:r>
    <w:r>
      <w:rPr>
        <w:sz w:val="16"/>
        <w:szCs w:val="16"/>
      </w:rPr>
      <w:t>s</w:t>
    </w:r>
    <w:r w:rsidRPr="00BE00A5">
      <w:rPr>
        <w:sz w:val="16"/>
        <w:szCs w:val="16"/>
      </w:rPr>
      <w:t xml:space="preserve"> </w:t>
    </w:r>
    <w:r>
      <w:rPr>
        <w:sz w:val="16"/>
        <w:szCs w:val="16"/>
      </w:rPr>
      <w:t>„</w:t>
    </w:r>
    <w:r w:rsidRPr="00BE00A5">
      <w:rPr>
        <w:sz w:val="16"/>
        <w:szCs w:val="16"/>
      </w:rPr>
      <w:t>Ārvalstu finanšu instrumentu finansētu civiltiesisku līgumu izstrādes un slēgšanas instrukcija valsts tiešās pārvaldes iestādēs”” sākotnējās ietekmes novērtējuma ziņojums (anotācija)</w:t>
    </w:r>
    <w:r w:rsidR="00CD169F">
      <w:rPr>
        <w:noProof/>
        <w:sz w:val="16"/>
        <w:szCs w:val="16"/>
      </w:rPr>
      <w:t xml:space="preserve">  (40714)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CFC0" w14:textId="22DA1F98" w:rsidR="004A187E" w:rsidRPr="00DA6CFB" w:rsidRDefault="00EA5E16" w:rsidP="004A187E">
    <w:pPr>
      <w:jc w:val="both"/>
      <w:rPr>
        <w:noProof/>
        <w:sz w:val="16"/>
        <w:szCs w:val="16"/>
      </w:rPr>
    </w:pPr>
    <w:r w:rsidRPr="00BE00A5">
      <w:rPr>
        <w:sz w:val="16"/>
        <w:szCs w:val="16"/>
      </w:rPr>
      <w:fldChar w:fldCharType="begin"/>
    </w:r>
    <w:r w:rsidRPr="00BE00A5">
      <w:rPr>
        <w:sz w:val="16"/>
        <w:szCs w:val="16"/>
      </w:rPr>
      <w:instrText xml:space="preserve"> FILENAME   \* MERGEFORMAT </w:instrText>
    </w:r>
    <w:r w:rsidRPr="00BE00A5">
      <w:rPr>
        <w:sz w:val="16"/>
        <w:szCs w:val="16"/>
      </w:rPr>
      <w:fldChar w:fldCharType="separate"/>
    </w:r>
    <w:r w:rsidR="00B77771">
      <w:rPr>
        <w:noProof/>
        <w:sz w:val="16"/>
        <w:szCs w:val="16"/>
      </w:rPr>
      <w:t>MKinst_Anot_VSS_274 1608201620160817153913</w:t>
    </w:r>
    <w:r w:rsidRPr="00BE00A5">
      <w:rPr>
        <w:sz w:val="16"/>
        <w:szCs w:val="16"/>
      </w:rPr>
      <w:fldChar w:fldCharType="end"/>
    </w:r>
    <w:r w:rsidR="00F0748A">
      <w:rPr>
        <w:sz w:val="16"/>
        <w:szCs w:val="16"/>
      </w:rPr>
      <w:t>6</w:t>
    </w:r>
    <w:r w:rsidRPr="00BE00A5">
      <w:rPr>
        <w:sz w:val="16"/>
        <w:szCs w:val="16"/>
      </w:rPr>
      <w:t xml:space="preserve">; </w:t>
    </w:r>
    <w:r w:rsidR="00BE00A5" w:rsidRPr="00BE00A5">
      <w:rPr>
        <w:sz w:val="16"/>
        <w:szCs w:val="16"/>
      </w:rPr>
      <w:t>Ministru kabineta instrukcijas projekt</w:t>
    </w:r>
    <w:r w:rsidR="00F0748A">
      <w:rPr>
        <w:sz w:val="16"/>
        <w:szCs w:val="16"/>
      </w:rPr>
      <w:t>s</w:t>
    </w:r>
    <w:r w:rsidR="00BE00A5" w:rsidRPr="00BE00A5">
      <w:rPr>
        <w:sz w:val="16"/>
        <w:szCs w:val="16"/>
      </w:rPr>
      <w:t xml:space="preserve"> </w:t>
    </w:r>
    <w:r w:rsidR="000148C2">
      <w:rPr>
        <w:sz w:val="16"/>
        <w:szCs w:val="16"/>
      </w:rPr>
      <w:t>„</w:t>
    </w:r>
    <w:r w:rsidR="00BE00A5" w:rsidRPr="00BE00A5">
      <w:rPr>
        <w:sz w:val="16"/>
        <w:szCs w:val="16"/>
      </w:rPr>
      <w:t>Ārvalstu finanšu instrumentu finansētu civiltiesisku līgumu izstrādes un slēgšanas instrukcija valsts tiešās pārvaldes iestādēs”” sākotnējās ietekmes novērtējuma ziņojums (anotācija)</w:t>
    </w:r>
    <w:proofErr w:type="gramStart"/>
    <w:r w:rsidR="00CD169F">
      <w:rPr>
        <w:sz w:val="16"/>
        <w:szCs w:val="16"/>
      </w:rPr>
      <w:t xml:space="preserve">  </w:t>
    </w:r>
    <w:proofErr w:type="gramEnd"/>
    <w:r w:rsidR="00CD169F">
      <w:rPr>
        <w:sz w:val="16"/>
        <w:szCs w:val="16"/>
      </w:rPr>
      <w:t>(40714)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9CFBA" w14:textId="77777777" w:rsidR="00EF7826" w:rsidRDefault="00EF7826">
      <w:r>
        <w:separator/>
      </w:r>
    </w:p>
  </w:footnote>
  <w:footnote w:type="continuationSeparator" w:id="0">
    <w:p w14:paraId="2D29CFBB" w14:textId="77777777" w:rsidR="00EF7826" w:rsidRDefault="00EF7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CFBE" w14:textId="77777777" w:rsidR="004A187E" w:rsidRDefault="00EA5E16" w:rsidP="004A187E">
    <w:pPr>
      <w:pStyle w:val="Header"/>
      <w:jc w:val="center"/>
    </w:pPr>
    <w:r>
      <w:rPr>
        <w:rStyle w:val="PageNumber"/>
      </w:rPr>
      <w:fldChar w:fldCharType="begin"/>
    </w:r>
    <w:r>
      <w:rPr>
        <w:rStyle w:val="PageNumber"/>
      </w:rPr>
      <w:instrText xml:space="preserve"> PAGE </w:instrText>
    </w:r>
    <w:r>
      <w:rPr>
        <w:rStyle w:val="PageNumber"/>
      </w:rPr>
      <w:fldChar w:fldCharType="separate"/>
    </w:r>
    <w:r w:rsidR="0015120C">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41C"/>
    <w:multiLevelType w:val="hybridMultilevel"/>
    <w:tmpl w:val="48F41D28"/>
    <w:lvl w:ilvl="0" w:tplc="04260011">
      <w:start w:val="1"/>
      <w:numFmt w:val="decimal"/>
      <w:lvlText w:val="%1)"/>
      <w:lvlJc w:val="left"/>
      <w:pPr>
        <w:ind w:left="720" w:hanging="360"/>
      </w:pPr>
      <w:rPr>
        <w:rFonts w:eastAsia="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67548A"/>
    <w:multiLevelType w:val="hybridMultilevel"/>
    <w:tmpl w:val="59B292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6F2702"/>
    <w:multiLevelType w:val="hybridMultilevel"/>
    <w:tmpl w:val="4642DD5C"/>
    <w:lvl w:ilvl="0" w:tplc="0426000F">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3">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FF6743A"/>
    <w:multiLevelType w:val="multilevel"/>
    <w:tmpl w:val="9C3C233E"/>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35F5852"/>
    <w:multiLevelType w:val="hybridMultilevel"/>
    <w:tmpl w:val="EF0651A2"/>
    <w:lvl w:ilvl="0" w:tplc="5DF27D36">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6">
    <w:nsid w:val="45865A89"/>
    <w:multiLevelType w:val="hybridMultilevel"/>
    <w:tmpl w:val="C95ED8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48A81ADD"/>
    <w:multiLevelType w:val="hybridMultilevel"/>
    <w:tmpl w:val="0E6CA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072C26"/>
    <w:multiLevelType w:val="hybridMultilevel"/>
    <w:tmpl w:val="6FF212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B5C3E4E"/>
    <w:multiLevelType w:val="hybridMultilevel"/>
    <w:tmpl w:val="606EB42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F0D7A71"/>
    <w:multiLevelType w:val="hybridMultilevel"/>
    <w:tmpl w:val="7EEA7BF4"/>
    <w:lvl w:ilvl="0" w:tplc="26C6BEF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0"/>
  </w:num>
  <w:num w:numId="6">
    <w:abstractNumId w:val="0"/>
  </w:num>
  <w:num w:numId="7">
    <w:abstractNumId w:val="9"/>
  </w:num>
  <w:num w:numId="8">
    <w:abstractNumId w:val="3"/>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16"/>
    <w:rsid w:val="00007999"/>
    <w:rsid w:val="00010D86"/>
    <w:rsid w:val="00012478"/>
    <w:rsid w:val="000148C2"/>
    <w:rsid w:val="000164FB"/>
    <w:rsid w:val="00021BE3"/>
    <w:rsid w:val="00023878"/>
    <w:rsid w:val="00025849"/>
    <w:rsid w:val="00031129"/>
    <w:rsid w:val="00035696"/>
    <w:rsid w:val="00035924"/>
    <w:rsid w:val="0003608D"/>
    <w:rsid w:val="000369DD"/>
    <w:rsid w:val="000406A1"/>
    <w:rsid w:val="0004100D"/>
    <w:rsid w:val="00041DEE"/>
    <w:rsid w:val="000437A2"/>
    <w:rsid w:val="000463EB"/>
    <w:rsid w:val="0004758B"/>
    <w:rsid w:val="00051981"/>
    <w:rsid w:val="00052675"/>
    <w:rsid w:val="00054710"/>
    <w:rsid w:val="000678EE"/>
    <w:rsid w:val="000756E1"/>
    <w:rsid w:val="0007763B"/>
    <w:rsid w:val="0008310A"/>
    <w:rsid w:val="00083613"/>
    <w:rsid w:val="00090437"/>
    <w:rsid w:val="000A32F2"/>
    <w:rsid w:val="000A36F5"/>
    <w:rsid w:val="000A6CBA"/>
    <w:rsid w:val="000B05F6"/>
    <w:rsid w:val="000B1EFC"/>
    <w:rsid w:val="000B2718"/>
    <w:rsid w:val="000B6199"/>
    <w:rsid w:val="000B6D92"/>
    <w:rsid w:val="000D0F5A"/>
    <w:rsid w:val="000D5101"/>
    <w:rsid w:val="000E5795"/>
    <w:rsid w:val="000E6764"/>
    <w:rsid w:val="000F1718"/>
    <w:rsid w:val="000F4BF0"/>
    <w:rsid w:val="000F685A"/>
    <w:rsid w:val="000F6B9F"/>
    <w:rsid w:val="00100344"/>
    <w:rsid w:val="001029AF"/>
    <w:rsid w:val="00110A2B"/>
    <w:rsid w:val="001122F1"/>
    <w:rsid w:val="00127343"/>
    <w:rsid w:val="0013355A"/>
    <w:rsid w:val="001337C3"/>
    <w:rsid w:val="001404ED"/>
    <w:rsid w:val="00141851"/>
    <w:rsid w:val="0014223A"/>
    <w:rsid w:val="0015120C"/>
    <w:rsid w:val="00151F47"/>
    <w:rsid w:val="00152A03"/>
    <w:rsid w:val="00157A24"/>
    <w:rsid w:val="00161A29"/>
    <w:rsid w:val="00163276"/>
    <w:rsid w:val="00163891"/>
    <w:rsid w:val="00164507"/>
    <w:rsid w:val="00164B2A"/>
    <w:rsid w:val="0017108B"/>
    <w:rsid w:val="00172CA8"/>
    <w:rsid w:val="00172CE7"/>
    <w:rsid w:val="0018018E"/>
    <w:rsid w:val="00191AB6"/>
    <w:rsid w:val="001A49DD"/>
    <w:rsid w:val="001A5FD9"/>
    <w:rsid w:val="001B16C6"/>
    <w:rsid w:val="001B2C33"/>
    <w:rsid w:val="001B400C"/>
    <w:rsid w:val="001B5851"/>
    <w:rsid w:val="001B678B"/>
    <w:rsid w:val="001B7820"/>
    <w:rsid w:val="001C020C"/>
    <w:rsid w:val="001C023A"/>
    <w:rsid w:val="001C351D"/>
    <w:rsid w:val="001C3CA9"/>
    <w:rsid w:val="001C6325"/>
    <w:rsid w:val="001C65D6"/>
    <w:rsid w:val="001D053B"/>
    <w:rsid w:val="001D093D"/>
    <w:rsid w:val="001D0AD0"/>
    <w:rsid w:val="001D19E1"/>
    <w:rsid w:val="001D1EA4"/>
    <w:rsid w:val="001D20C9"/>
    <w:rsid w:val="001D40CF"/>
    <w:rsid w:val="001D48A5"/>
    <w:rsid w:val="001E0EAA"/>
    <w:rsid w:val="001E0F65"/>
    <w:rsid w:val="001E67BC"/>
    <w:rsid w:val="001F0DD5"/>
    <w:rsid w:val="001F3BFF"/>
    <w:rsid w:val="001F4FD1"/>
    <w:rsid w:val="001F504A"/>
    <w:rsid w:val="001F66A7"/>
    <w:rsid w:val="002010D2"/>
    <w:rsid w:val="00204329"/>
    <w:rsid w:val="002129A8"/>
    <w:rsid w:val="00212FF6"/>
    <w:rsid w:val="002167E6"/>
    <w:rsid w:val="00216953"/>
    <w:rsid w:val="00216F67"/>
    <w:rsid w:val="002250C1"/>
    <w:rsid w:val="00226422"/>
    <w:rsid w:val="00231E12"/>
    <w:rsid w:val="00241149"/>
    <w:rsid w:val="002429C8"/>
    <w:rsid w:val="00245597"/>
    <w:rsid w:val="002523B2"/>
    <w:rsid w:val="00252C35"/>
    <w:rsid w:val="00253203"/>
    <w:rsid w:val="00253B9D"/>
    <w:rsid w:val="00254A26"/>
    <w:rsid w:val="00255B41"/>
    <w:rsid w:val="00256121"/>
    <w:rsid w:val="00260744"/>
    <w:rsid w:val="00262B1D"/>
    <w:rsid w:val="0027188F"/>
    <w:rsid w:val="002729C6"/>
    <w:rsid w:val="00272DD7"/>
    <w:rsid w:val="00282D07"/>
    <w:rsid w:val="00296361"/>
    <w:rsid w:val="002A0093"/>
    <w:rsid w:val="002A1BE9"/>
    <w:rsid w:val="002A325A"/>
    <w:rsid w:val="002A4CDC"/>
    <w:rsid w:val="002A7404"/>
    <w:rsid w:val="002A7CF7"/>
    <w:rsid w:val="002B47D3"/>
    <w:rsid w:val="002B5E91"/>
    <w:rsid w:val="002C4AD1"/>
    <w:rsid w:val="002D0009"/>
    <w:rsid w:val="002D1738"/>
    <w:rsid w:val="002D22EF"/>
    <w:rsid w:val="002E02F8"/>
    <w:rsid w:val="002E12CA"/>
    <w:rsid w:val="002E226E"/>
    <w:rsid w:val="002E3E2E"/>
    <w:rsid w:val="002E5954"/>
    <w:rsid w:val="002E5EDD"/>
    <w:rsid w:val="002E70F6"/>
    <w:rsid w:val="002F031A"/>
    <w:rsid w:val="002F1DA9"/>
    <w:rsid w:val="002F2F36"/>
    <w:rsid w:val="002F5E0E"/>
    <w:rsid w:val="002F66C0"/>
    <w:rsid w:val="002F7D85"/>
    <w:rsid w:val="00301939"/>
    <w:rsid w:val="003064E1"/>
    <w:rsid w:val="00317957"/>
    <w:rsid w:val="00317D48"/>
    <w:rsid w:val="00321C6C"/>
    <w:rsid w:val="003222FB"/>
    <w:rsid w:val="0032567F"/>
    <w:rsid w:val="0032585E"/>
    <w:rsid w:val="00331D35"/>
    <w:rsid w:val="0033215F"/>
    <w:rsid w:val="00332F15"/>
    <w:rsid w:val="00334C53"/>
    <w:rsid w:val="0033532A"/>
    <w:rsid w:val="0033693B"/>
    <w:rsid w:val="003421C5"/>
    <w:rsid w:val="00346594"/>
    <w:rsid w:val="00353482"/>
    <w:rsid w:val="00357674"/>
    <w:rsid w:val="00357B50"/>
    <w:rsid w:val="003601CD"/>
    <w:rsid w:val="00365793"/>
    <w:rsid w:val="00366F6C"/>
    <w:rsid w:val="003750B7"/>
    <w:rsid w:val="00376D22"/>
    <w:rsid w:val="00381CCB"/>
    <w:rsid w:val="00382AD0"/>
    <w:rsid w:val="0038369A"/>
    <w:rsid w:val="0038798E"/>
    <w:rsid w:val="0039021F"/>
    <w:rsid w:val="00390458"/>
    <w:rsid w:val="003953A9"/>
    <w:rsid w:val="003A37E2"/>
    <w:rsid w:val="003A3F9D"/>
    <w:rsid w:val="003B09DF"/>
    <w:rsid w:val="003B1D4B"/>
    <w:rsid w:val="003B46B5"/>
    <w:rsid w:val="003B5386"/>
    <w:rsid w:val="003B70B1"/>
    <w:rsid w:val="003B7153"/>
    <w:rsid w:val="003B793D"/>
    <w:rsid w:val="003C05BE"/>
    <w:rsid w:val="003C1570"/>
    <w:rsid w:val="003C20A2"/>
    <w:rsid w:val="003C63F4"/>
    <w:rsid w:val="003C783D"/>
    <w:rsid w:val="003D03DE"/>
    <w:rsid w:val="003D1FE6"/>
    <w:rsid w:val="003D370D"/>
    <w:rsid w:val="003D3942"/>
    <w:rsid w:val="003D4B2E"/>
    <w:rsid w:val="003E0678"/>
    <w:rsid w:val="003E0FDA"/>
    <w:rsid w:val="003E144D"/>
    <w:rsid w:val="003E1C30"/>
    <w:rsid w:val="003E240E"/>
    <w:rsid w:val="003E3211"/>
    <w:rsid w:val="003E3776"/>
    <w:rsid w:val="003E7ED6"/>
    <w:rsid w:val="0040216B"/>
    <w:rsid w:val="00402C3E"/>
    <w:rsid w:val="00413634"/>
    <w:rsid w:val="0041460D"/>
    <w:rsid w:val="00415445"/>
    <w:rsid w:val="00415800"/>
    <w:rsid w:val="00415A68"/>
    <w:rsid w:val="00416C0E"/>
    <w:rsid w:val="00417898"/>
    <w:rsid w:val="00420D2F"/>
    <w:rsid w:val="00425C43"/>
    <w:rsid w:val="0042629C"/>
    <w:rsid w:val="004308E8"/>
    <w:rsid w:val="00432E7F"/>
    <w:rsid w:val="00434A44"/>
    <w:rsid w:val="00434B2E"/>
    <w:rsid w:val="00435D73"/>
    <w:rsid w:val="00442B4F"/>
    <w:rsid w:val="004434AA"/>
    <w:rsid w:val="00446059"/>
    <w:rsid w:val="00446450"/>
    <w:rsid w:val="00450089"/>
    <w:rsid w:val="004536D4"/>
    <w:rsid w:val="00457B8F"/>
    <w:rsid w:val="0046263F"/>
    <w:rsid w:val="0046394E"/>
    <w:rsid w:val="0046484D"/>
    <w:rsid w:val="00467859"/>
    <w:rsid w:val="0047052D"/>
    <w:rsid w:val="004716DA"/>
    <w:rsid w:val="004778CD"/>
    <w:rsid w:val="0048108B"/>
    <w:rsid w:val="004824D7"/>
    <w:rsid w:val="00484458"/>
    <w:rsid w:val="004917E1"/>
    <w:rsid w:val="00493426"/>
    <w:rsid w:val="00493FA8"/>
    <w:rsid w:val="00493FC2"/>
    <w:rsid w:val="00496060"/>
    <w:rsid w:val="004A187E"/>
    <w:rsid w:val="004A67A4"/>
    <w:rsid w:val="004B0B79"/>
    <w:rsid w:val="004B0C84"/>
    <w:rsid w:val="004B241C"/>
    <w:rsid w:val="004B3E70"/>
    <w:rsid w:val="004B3E78"/>
    <w:rsid w:val="004B477A"/>
    <w:rsid w:val="004C184D"/>
    <w:rsid w:val="004C1E9D"/>
    <w:rsid w:val="004C3813"/>
    <w:rsid w:val="004C5504"/>
    <w:rsid w:val="004C62AB"/>
    <w:rsid w:val="004C6911"/>
    <w:rsid w:val="004C7F6C"/>
    <w:rsid w:val="004D262A"/>
    <w:rsid w:val="004D29F4"/>
    <w:rsid w:val="004D4016"/>
    <w:rsid w:val="004D40DE"/>
    <w:rsid w:val="004D5C1B"/>
    <w:rsid w:val="004E29A1"/>
    <w:rsid w:val="004E4C6F"/>
    <w:rsid w:val="004E5035"/>
    <w:rsid w:val="004F17A9"/>
    <w:rsid w:val="004F1A93"/>
    <w:rsid w:val="004F2C7C"/>
    <w:rsid w:val="004F3510"/>
    <w:rsid w:val="004F41E9"/>
    <w:rsid w:val="004F7FC2"/>
    <w:rsid w:val="005008B6"/>
    <w:rsid w:val="00502E43"/>
    <w:rsid w:val="00503798"/>
    <w:rsid w:val="0050495C"/>
    <w:rsid w:val="00504E8B"/>
    <w:rsid w:val="00511610"/>
    <w:rsid w:val="00512911"/>
    <w:rsid w:val="0051296B"/>
    <w:rsid w:val="00517268"/>
    <w:rsid w:val="005203EA"/>
    <w:rsid w:val="00520485"/>
    <w:rsid w:val="00520874"/>
    <w:rsid w:val="00525191"/>
    <w:rsid w:val="005305AA"/>
    <w:rsid w:val="005318C1"/>
    <w:rsid w:val="00533B1D"/>
    <w:rsid w:val="00533F4F"/>
    <w:rsid w:val="00541500"/>
    <w:rsid w:val="00542BED"/>
    <w:rsid w:val="005432EB"/>
    <w:rsid w:val="005433B6"/>
    <w:rsid w:val="00550AE3"/>
    <w:rsid w:val="00550AFC"/>
    <w:rsid w:val="00550CA2"/>
    <w:rsid w:val="00552E43"/>
    <w:rsid w:val="0055429B"/>
    <w:rsid w:val="005553A2"/>
    <w:rsid w:val="005653BD"/>
    <w:rsid w:val="0057504B"/>
    <w:rsid w:val="00575E6C"/>
    <w:rsid w:val="00576A65"/>
    <w:rsid w:val="005815AD"/>
    <w:rsid w:val="005836E4"/>
    <w:rsid w:val="00590FDF"/>
    <w:rsid w:val="00597005"/>
    <w:rsid w:val="00597978"/>
    <w:rsid w:val="005A03D1"/>
    <w:rsid w:val="005A102B"/>
    <w:rsid w:val="005A13A8"/>
    <w:rsid w:val="005A6A06"/>
    <w:rsid w:val="005A7547"/>
    <w:rsid w:val="005A79F5"/>
    <w:rsid w:val="005B0BEC"/>
    <w:rsid w:val="005B10AC"/>
    <w:rsid w:val="005B2851"/>
    <w:rsid w:val="005B5B19"/>
    <w:rsid w:val="005B624D"/>
    <w:rsid w:val="005B7184"/>
    <w:rsid w:val="005C3FF0"/>
    <w:rsid w:val="005C7132"/>
    <w:rsid w:val="005C7C63"/>
    <w:rsid w:val="005D3250"/>
    <w:rsid w:val="005D370F"/>
    <w:rsid w:val="005E0F70"/>
    <w:rsid w:val="005E2AA8"/>
    <w:rsid w:val="005E2C62"/>
    <w:rsid w:val="005E6DB8"/>
    <w:rsid w:val="005F0458"/>
    <w:rsid w:val="005F20F5"/>
    <w:rsid w:val="00600459"/>
    <w:rsid w:val="00600DB2"/>
    <w:rsid w:val="00602435"/>
    <w:rsid w:val="006050D9"/>
    <w:rsid w:val="00610C07"/>
    <w:rsid w:val="00613DAF"/>
    <w:rsid w:val="00622D9B"/>
    <w:rsid w:val="00626390"/>
    <w:rsid w:val="00627FD8"/>
    <w:rsid w:val="0063006E"/>
    <w:rsid w:val="00631B53"/>
    <w:rsid w:val="006329E3"/>
    <w:rsid w:val="0063441C"/>
    <w:rsid w:val="00635031"/>
    <w:rsid w:val="0063610D"/>
    <w:rsid w:val="0063654E"/>
    <w:rsid w:val="00637F34"/>
    <w:rsid w:val="00643E2A"/>
    <w:rsid w:val="006443B8"/>
    <w:rsid w:val="00645090"/>
    <w:rsid w:val="00650105"/>
    <w:rsid w:val="00652A13"/>
    <w:rsid w:val="0065377B"/>
    <w:rsid w:val="00654BCB"/>
    <w:rsid w:val="00662132"/>
    <w:rsid w:val="00664161"/>
    <w:rsid w:val="006645E0"/>
    <w:rsid w:val="006649A1"/>
    <w:rsid w:val="0066582B"/>
    <w:rsid w:val="0067112F"/>
    <w:rsid w:val="00671616"/>
    <w:rsid w:val="006728DF"/>
    <w:rsid w:val="006804D9"/>
    <w:rsid w:val="00683DC9"/>
    <w:rsid w:val="006854D4"/>
    <w:rsid w:val="0068602E"/>
    <w:rsid w:val="00687346"/>
    <w:rsid w:val="00691C52"/>
    <w:rsid w:val="00694B81"/>
    <w:rsid w:val="006A5CB1"/>
    <w:rsid w:val="006A6045"/>
    <w:rsid w:val="006B260B"/>
    <w:rsid w:val="006B2CBA"/>
    <w:rsid w:val="006B5607"/>
    <w:rsid w:val="006B5A76"/>
    <w:rsid w:val="006B7E5B"/>
    <w:rsid w:val="006C0A46"/>
    <w:rsid w:val="006C174E"/>
    <w:rsid w:val="006C1DF0"/>
    <w:rsid w:val="006C3462"/>
    <w:rsid w:val="006C46DA"/>
    <w:rsid w:val="006D47F5"/>
    <w:rsid w:val="006D576B"/>
    <w:rsid w:val="006D670E"/>
    <w:rsid w:val="006D6BA7"/>
    <w:rsid w:val="006D782C"/>
    <w:rsid w:val="006E6B17"/>
    <w:rsid w:val="006F1E88"/>
    <w:rsid w:val="006F62E8"/>
    <w:rsid w:val="00700FFA"/>
    <w:rsid w:val="0071073B"/>
    <w:rsid w:val="00710AC0"/>
    <w:rsid w:val="007153ED"/>
    <w:rsid w:val="00715B16"/>
    <w:rsid w:val="0072479F"/>
    <w:rsid w:val="0073079A"/>
    <w:rsid w:val="007328C2"/>
    <w:rsid w:val="00733DC2"/>
    <w:rsid w:val="00745E55"/>
    <w:rsid w:val="0074712F"/>
    <w:rsid w:val="007516C3"/>
    <w:rsid w:val="007520ED"/>
    <w:rsid w:val="00753C39"/>
    <w:rsid w:val="00756A59"/>
    <w:rsid w:val="007578E7"/>
    <w:rsid w:val="00762754"/>
    <w:rsid w:val="007627C0"/>
    <w:rsid w:val="007715CF"/>
    <w:rsid w:val="00772861"/>
    <w:rsid w:val="007749F2"/>
    <w:rsid w:val="00775A23"/>
    <w:rsid w:val="00776D40"/>
    <w:rsid w:val="00783595"/>
    <w:rsid w:val="00784048"/>
    <w:rsid w:val="00785486"/>
    <w:rsid w:val="00785CEA"/>
    <w:rsid w:val="00791416"/>
    <w:rsid w:val="00792380"/>
    <w:rsid w:val="00796A20"/>
    <w:rsid w:val="007977FF"/>
    <w:rsid w:val="007A03F7"/>
    <w:rsid w:val="007A2C09"/>
    <w:rsid w:val="007A2D8A"/>
    <w:rsid w:val="007B214C"/>
    <w:rsid w:val="007B6AD0"/>
    <w:rsid w:val="007B6FAC"/>
    <w:rsid w:val="007B7616"/>
    <w:rsid w:val="007C0F29"/>
    <w:rsid w:val="007C3FFA"/>
    <w:rsid w:val="007C6AC8"/>
    <w:rsid w:val="007C6DC3"/>
    <w:rsid w:val="007C7264"/>
    <w:rsid w:val="007D1DB1"/>
    <w:rsid w:val="007D24A9"/>
    <w:rsid w:val="007D6468"/>
    <w:rsid w:val="007E108A"/>
    <w:rsid w:val="007E4239"/>
    <w:rsid w:val="007E5020"/>
    <w:rsid w:val="007E5A1A"/>
    <w:rsid w:val="007E64FF"/>
    <w:rsid w:val="007F0214"/>
    <w:rsid w:val="0080142C"/>
    <w:rsid w:val="00802917"/>
    <w:rsid w:val="008057F2"/>
    <w:rsid w:val="00811D9A"/>
    <w:rsid w:val="00812505"/>
    <w:rsid w:val="00815A80"/>
    <w:rsid w:val="00821670"/>
    <w:rsid w:val="00824C73"/>
    <w:rsid w:val="00826A82"/>
    <w:rsid w:val="0082712E"/>
    <w:rsid w:val="00831D08"/>
    <w:rsid w:val="00832129"/>
    <w:rsid w:val="008360C3"/>
    <w:rsid w:val="00837087"/>
    <w:rsid w:val="00844343"/>
    <w:rsid w:val="00860229"/>
    <w:rsid w:val="0086730F"/>
    <w:rsid w:val="00871DEB"/>
    <w:rsid w:val="00875869"/>
    <w:rsid w:val="008773D5"/>
    <w:rsid w:val="008826B6"/>
    <w:rsid w:val="00882F90"/>
    <w:rsid w:val="00883B06"/>
    <w:rsid w:val="00886ECE"/>
    <w:rsid w:val="00895148"/>
    <w:rsid w:val="00897E10"/>
    <w:rsid w:val="008A459D"/>
    <w:rsid w:val="008A4613"/>
    <w:rsid w:val="008B1821"/>
    <w:rsid w:val="008B1D7C"/>
    <w:rsid w:val="008B2DE0"/>
    <w:rsid w:val="008B685E"/>
    <w:rsid w:val="008C1B92"/>
    <w:rsid w:val="008C293F"/>
    <w:rsid w:val="008C2A7B"/>
    <w:rsid w:val="008C33B4"/>
    <w:rsid w:val="008C544A"/>
    <w:rsid w:val="008C5BC8"/>
    <w:rsid w:val="008C64D6"/>
    <w:rsid w:val="008C74EF"/>
    <w:rsid w:val="008D03E3"/>
    <w:rsid w:val="008D2A38"/>
    <w:rsid w:val="008D3761"/>
    <w:rsid w:val="008D5957"/>
    <w:rsid w:val="008D7DA0"/>
    <w:rsid w:val="008E0887"/>
    <w:rsid w:val="008E0A88"/>
    <w:rsid w:val="008E1171"/>
    <w:rsid w:val="008E2446"/>
    <w:rsid w:val="008F0A0F"/>
    <w:rsid w:val="008F3517"/>
    <w:rsid w:val="008F4B19"/>
    <w:rsid w:val="008F6573"/>
    <w:rsid w:val="00900E3A"/>
    <w:rsid w:val="00901A63"/>
    <w:rsid w:val="00902B59"/>
    <w:rsid w:val="00903497"/>
    <w:rsid w:val="00907E7F"/>
    <w:rsid w:val="00910783"/>
    <w:rsid w:val="00913088"/>
    <w:rsid w:val="009179D3"/>
    <w:rsid w:val="00917CAE"/>
    <w:rsid w:val="009221A4"/>
    <w:rsid w:val="009275FF"/>
    <w:rsid w:val="009306DA"/>
    <w:rsid w:val="00931587"/>
    <w:rsid w:val="0093466E"/>
    <w:rsid w:val="00934CE9"/>
    <w:rsid w:val="009375F7"/>
    <w:rsid w:val="00937E45"/>
    <w:rsid w:val="009414D5"/>
    <w:rsid w:val="00943895"/>
    <w:rsid w:val="00946E60"/>
    <w:rsid w:val="00947F10"/>
    <w:rsid w:val="00954AE5"/>
    <w:rsid w:val="009550DA"/>
    <w:rsid w:val="00960417"/>
    <w:rsid w:val="00961D0C"/>
    <w:rsid w:val="009665CB"/>
    <w:rsid w:val="00970753"/>
    <w:rsid w:val="0097117B"/>
    <w:rsid w:val="009715BB"/>
    <w:rsid w:val="00974E9A"/>
    <w:rsid w:val="00976909"/>
    <w:rsid w:val="009771B7"/>
    <w:rsid w:val="00980AAF"/>
    <w:rsid w:val="00984432"/>
    <w:rsid w:val="00984DC2"/>
    <w:rsid w:val="00985DD0"/>
    <w:rsid w:val="00986F85"/>
    <w:rsid w:val="00997FDD"/>
    <w:rsid w:val="009A4A7E"/>
    <w:rsid w:val="009A52A7"/>
    <w:rsid w:val="009B15B3"/>
    <w:rsid w:val="009B1641"/>
    <w:rsid w:val="009B25D3"/>
    <w:rsid w:val="009B2F51"/>
    <w:rsid w:val="009B59E9"/>
    <w:rsid w:val="009B73A9"/>
    <w:rsid w:val="009C40F2"/>
    <w:rsid w:val="009C5B70"/>
    <w:rsid w:val="009C5DEE"/>
    <w:rsid w:val="009D4217"/>
    <w:rsid w:val="009D4D02"/>
    <w:rsid w:val="009F1903"/>
    <w:rsid w:val="009F302C"/>
    <w:rsid w:val="009F62B3"/>
    <w:rsid w:val="00A06051"/>
    <w:rsid w:val="00A07487"/>
    <w:rsid w:val="00A107ED"/>
    <w:rsid w:val="00A1144D"/>
    <w:rsid w:val="00A11AE2"/>
    <w:rsid w:val="00A17093"/>
    <w:rsid w:val="00A2128C"/>
    <w:rsid w:val="00A21760"/>
    <w:rsid w:val="00A23E30"/>
    <w:rsid w:val="00A24260"/>
    <w:rsid w:val="00A26DE3"/>
    <w:rsid w:val="00A313E9"/>
    <w:rsid w:val="00A335CB"/>
    <w:rsid w:val="00A34A1E"/>
    <w:rsid w:val="00A3775F"/>
    <w:rsid w:val="00A404C0"/>
    <w:rsid w:val="00A42AFC"/>
    <w:rsid w:val="00A446A7"/>
    <w:rsid w:val="00A463AA"/>
    <w:rsid w:val="00A56351"/>
    <w:rsid w:val="00A6295F"/>
    <w:rsid w:val="00A72252"/>
    <w:rsid w:val="00A7285D"/>
    <w:rsid w:val="00A75BDA"/>
    <w:rsid w:val="00A76818"/>
    <w:rsid w:val="00A82528"/>
    <w:rsid w:val="00A839E4"/>
    <w:rsid w:val="00A91FEA"/>
    <w:rsid w:val="00A93E45"/>
    <w:rsid w:val="00A96168"/>
    <w:rsid w:val="00A96F24"/>
    <w:rsid w:val="00AA20DA"/>
    <w:rsid w:val="00AA2F0F"/>
    <w:rsid w:val="00AA3252"/>
    <w:rsid w:val="00AA4CF7"/>
    <w:rsid w:val="00AA59EA"/>
    <w:rsid w:val="00AB37EA"/>
    <w:rsid w:val="00AC1CB2"/>
    <w:rsid w:val="00AC63FF"/>
    <w:rsid w:val="00AD28F6"/>
    <w:rsid w:val="00AD3674"/>
    <w:rsid w:val="00AD6DBC"/>
    <w:rsid w:val="00AE02C3"/>
    <w:rsid w:val="00AE23B5"/>
    <w:rsid w:val="00AE3A1A"/>
    <w:rsid w:val="00AE64B0"/>
    <w:rsid w:val="00AF2378"/>
    <w:rsid w:val="00AF2B3A"/>
    <w:rsid w:val="00B02248"/>
    <w:rsid w:val="00B02790"/>
    <w:rsid w:val="00B0756C"/>
    <w:rsid w:val="00B12023"/>
    <w:rsid w:val="00B121FC"/>
    <w:rsid w:val="00B12851"/>
    <w:rsid w:val="00B14DB5"/>
    <w:rsid w:val="00B17D34"/>
    <w:rsid w:val="00B20B06"/>
    <w:rsid w:val="00B22212"/>
    <w:rsid w:val="00B262BC"/>
    <w:rsid w:val="00B34410"/>
    <w:rsid w:val="00B3505F"/>
    <w:rsid w:val="00B37889"/>
    <w:rsid w:val="00B40512"/>
    <w:rsid w:val="00B442C9"/>
    <w:rsid w:val="00B522F1"/>
    <w:rsid w:val="00B55577"/>
    <w:rsid w:val="00B56785"/>
    <w:rsid w:val="00B6397F"/>
    <w:rsid w:val="00B63E2C"/>
    <w:rsid w:val="00B67950"/>
    <w:rsid w:val="00B7116B"/>
    <w:rsid w:val="00B7186C"/>
    <w:rsid w:val="00B72C25"/>
    <w:rsid w:val="00B740B1"/>
    <w:rsid w:val="00B76191"/>
    <w:rsid w:val="00B77771"/>
    <w:rsid w:val="00B81E0E"/>
    <w:rsid w:val="00B86F1D"/>
    <w:rsid w:val="00B92722"/>
    <w:rsid w:val="00B93B3F"/>
    <w:rsid w:val="00B950BC"/>
    <w:rsid w:val="00B95932"/>
    <w:rsid w:val="00B96445"/>
    <w:rsid w:val="00B96E3B"/>
    <w:rsid w:val="00B97ACD"/>
    <w:rsid w:val="00BA44DE"/>
    <w:rsid w:val="00BA5363"/>
    <w:rsid w:val="00BB0879"/>
    <w:rsid w:val="00BB204E"/>
    <w:rsid w:val="00BB2495"/>
    <w:rsid w:val="00BB5780"/>
    <w:rsid w:val="00BC1A98"/>
    <w:rsid w:val="00BC2298"/>
    <w:rsid w:val="00BC3AC0"/>
    <w:rsid w:val="00BC5CE7"/>
    <w:rsid w:val="00BC7BEC"/>
    <w:rsid w:val="00BD11F6"/>
    <w:rsid w:val="00BD3686"/>
    <w:rsid w:val="00BD493D"/>
    <w:rsid w:val="00BD5702"/>
    <w:rsid w:val="00BD5F1E"/>
    <w:rsid w:val="00BD68FE"/>
    <w:rsid w:val="00BE00A5"/>
    <w:rsid w:val="00BE017A"/>
    <w:rsid w:val="00BE0B7B"/>
    <w:rsid w:val="00BE168E"/>
    <w:rsid w:val="00BE5B25"/>
    <w:rsid w:val="00BE7CE5"/>
    <w:rsid w:val="00BE7F78"/>
    <w:rsid w:val="00BF0602"/>
    <w:rsid w:val="00C01AE1"/>
    <w:rsid w:val="00C020F5"/>
    <w:rsid w:val="00C0231E"/>
    <w:rsid w:val="00C06C40"/>
    <w:rsid w:val="00C12B3C"/>
    <w:rsid w:val="00C15FC1"/>
    <w:rsid w:val="00C16273"/>
    <w:rsid w:val="00C16D04"/>
    <w:rsid w:val="00C2046E"/>
    <w:rsid w:val="00C238F2"/>
    <w:rsid w:val="00C24C1C"/>
    <w:rsid w:val="00C2525D"/>
    <w:rsid w:val="00C267AF"/>
    <w:rsid w:val="00C270CB"/>
    <w:rsid w:val="00C30CF8"/>
    <w:rsid w:val="00C40E57"/>
    <w:rsid w:val="00C50795"/>
    <w:rsid w:val="00C51929"/>
    <w:rsid w:val="00C51EED"/>
    <w:rsid w:val="00C51FC2"/>
    <w:rsid w:val="00C57386"/>
    <w:rsid w:val="00C57573"/>
    <w:rsid w:val="00C61B8A"/>
    <w:rsid w:val="00C70CEB"/>
    <w:rsid w:val="00C72EEC"/>
    <w:rsid w:val="00C7527A"/>
    <w:rsid w:val="00C80759"/>
    <w:rsid w:val="00C921CA"/>
    <w:rsid w:val="00C923B5"/>
    <w:rsid w:val="00C92D39"/>
    <w:rsid w:val="00C93418"/>
    <w:rsid w:val="00C937A7"/>
    <w:rsid w:val="00C938DD"/>
    <w:rsid w:val="00C93E56"/>
    <w:rsid w:val="00C96C2B"/>
    <w:rsid w:val="00CB0E59"/>
    <w:rsid w:val="00CB25C0"/>
    <w:rsid w:val="00CB57B0"/>
    <w:rsid w:val="00CC0107"/>
    <w:rsid w:val="00CC05C9"/>
    <w:rsid w:val="00CC55CC"/>
    <w:rsid w:val="00CD13B8"/>
    <w:rsid w:val="00CD169F"/>
    <w:rsid w:val="00CD295F"/>
    <w:rsid w:val="00CE0504"/>
    <w:rsid w:val="00CF0B15"/>
    <w:rsid w:val="00CF27A1"/>
    <w:rsid w:val="00CF2CBA"/>
    <w:rsid w:val="00CF4D42"/>
    <w:rsid w:val="00CF6736"/>
    <w:rsid w:val="00CF76C2"/>
    <w:rsid w:val="00D00794"/>
    <w:rsid w:val="00D009A6"/>
    <w:rsid w:val="00D01E05"/>
    <w:rsid w:val="00D031D1"/>
    <w:rsid w:val="00D04790"/>
    <w:rsid w:val="00D04947"/>
    <w:rsid w:val="00D16C1A"/>
    <w:rsid w:val="00D17578"/>
    <w:rsid w:val="00D203EF"/>
    <w:rsid w:val="00D212CF"/>
    <w:rsid w:val="00D22384"/>
    <w:rsid w:val="00D24C10"/>
    <w:rsid w:val="00D25EA0"/>
    <w:rsid w:val="00D27A4C"/>
    <w:rsid w:val="00D42C80"/>
    <w:rsid w:val="00D4466E"/>
    <w:rsid w:val="00D44D16"/>
    <w:rsid w:val="00D46160"/>
    <w:rsid w:val="00D47871"/>
    <w:rsid w:val="00D51B9D"/>
    <w:rsid w:val="00D52581"/>
    <w:rsid w:val="00D528B1"/>
    <w:rsid w:val="00D529CE"/>
    <w:rsid w:val="00D536E7"/>
    <w:rsid w:val="00D5498C"/>
    <w:rsid w:val="00D60EB6"/>
    <w:rsid w:val="00D61969"/>
    <w:rsid w:val="00D61D12"/>
    <w:rsid w:val="00D65A5D"/>
    <w:rsid w:val="00D72353"/>
    <w:rsid w:val="00D72AC2"/>
    <w:rsid w:val="00D73652"/>
    <w:rsid w:val="00D75108"/>
    <w:rsid w:val="00D80B7A"/>
    <w:rsid w:val="00D92916"/>
    <w:rsid w:val="00D93141"/>
    <w:rsid w:val="00D94177"/>
    <w:rsid w:val="00D95256"/>
    <w:rsid w:val="00D960C0"/>
    <w:rsid w:val="00DA0881"/>
    <w:rsid w:val="00DA1B02"/>
    <w:rsid w:val="00DA1BBC"/>
    <w:rsid w:val="00DA501C"/>
    <w:rsid w:val="00DA57F3"/>
    <w:rsid w:val="00DA6CFB"/>
    <w:rsid w:val="00DB2CAD"/>
    <w:rsid w:val="00DB4543"/>
    <w:rsid w:val="00DB6441"/>
    <w:rsid w:val="00DC1C3F"/>
    <w:rsid w:val="00DC2804"/>
    <w:rsid w:val="00DC7E3C"/>
    <w:rsid w:val="00DD01AA"/>
    <w:rsid w:val="00DD08D9"/>
    <w:rsid w:val="00DD0C76"/>
    <w:rsid w:val="00DD692F"/>
    <w:rsid w:val="00DD6FCB"/>
    <w:rsid w:val="00DE2051"/>
    <w:rsid w:val="00DE7EAD"/>
    <w:rsid w:val="00DF1523"/>
    <w:rsid w:val="00E02284"/>
    <w:rsid w:val="00E140E9"/>
    <w:rsid w:val="00E17996"/>
    <w:rsid w:val="00E20F04"/>
    <w:rsid w:val="00E24EB3"/>
    <w:rsid w:val="00E26451"/>
    <w:rsid w:val="00E315D2"/>
    <w:rsid w:val="00E3214F"/>
    <w:rsid w:val="00E323BF"/>
    <w:rsid w:val="00E36E09"/>
    <w:rsid w:val="00E422EB"/>
    <w:rsid w:val="00E4343C"/>
    <w:rsid w:val="00E44253"/>
    <w:rsid w:val="00E57F64"/>
    <w:rsid w:val="00E63D9E"/>
    <w:rsid w:val="00E66763"/>
    <w:rsid w:val="00E67951"/>
    <w:rsid w:val="00E716C6"/>
    <w:rsid w:val="00E71D64"/>
    <w:rsid w:val="00E72AA8"/>
    <w:rsid w:val="00E76B10"/>
    <w:rsid w:val="00E81140"/>
    <w:rsid w:val="00E82BBE"/>
    <w:rsid w:val="00E82CD8"/>
    <w:rsid w:val="00E84186"/>
    <w:rsid w:val="00E851BD"/>
    <w:rsid w:val="00E86B9F"/>
    <w:rsid w:val="00E971EB"/>
    <w:rsid w:val="00EA45C0"/>
    <w:rsid w:val="00EA5E16"/>
    <w:rsid w:val="00EA7E25"/>
    <w:rsid w:val="00EB3AE0"/>
    <w:rsid w:val="00EB3C4F"/>
    <w:rsid w:val="00EB5053"/>
    <w:rsid w:val="00EB6A01"/>
    <w:rsid w:val="00EC0850"/>
    <w:rsid w:val="00EC17C2"/>
    <w:rsid w:val="00EC5E29"/>
    <w:rsid w:val="00EC72CE"/>
    <w:rsid w:val="00ED1AA0"/>
    <w:rsid w:val="00ED3624"/>
    <w:rsid w:val="00ED7BC0"/>
    <w:rsid w:val="00EE0136"/>
    <w:rsid w:val="00EE146C"/>
    <w:rsid w:val="00EE216F"/>
    <w:rsid w:val="00EF0DD2"/>
    <w:rsid w:val="00EF7826"/>
    <w:rsid w:val="00F07382"/>
    <w:rsid w:val="00F0748A"/>
    <w:rsid w:val="00F11DB5"/>
    <w:rsid w:val="00F11FAA"/>
    <w:rsid w:val="00F20A7C"/>
    <w:rsid w:val="00F24497"/>
    <w:rsid w:val="00F252AF"/>
    <w:rsid w:val="00F27E20"/>
    <w:rsid w:val="00F30A74"/>
    <w:rsid w:val="00F33AB3"/>
    <w:rsid w:val="00F44AC9"/>
    <w:rsid w:val="00F44B7D"/>
    <w:rsid w:val="00F46166"/>
    <w:rsid w:val="00F46446"/>
    <w:rsid w:val="00F53A4C"/>
    <w:rsid w:val="00F54951"/>
    <w:rsid w:val="00F56B8E"/>
    <w:rsid w:val="00F60F7D"/>
    <w:rsid w:val="00F63C4E"/>
    <w:rsid w:val="00F65F1E"/>
    <w:rsid w:val="00F67203"/>
    <w:rsid w:val="00F70963"/>
    <w:rsid w:val="00F7103F"/>
    <w:rsid w:val="00F728AB"/>
    <w:rsid w:val="00F760CC"/>
    <w:rsid w:val="00F86645"/>
    <w:rsid w:val="00F91AFC"/>
    <w:rsid w:val="00F929A4"/>
    <w:rsid w:val="00FA6E8B"/>
    <w:rsid w:val="00FB03F5"/>
    <w:rsid w:val="00FB11C4"/>
    <w:rsid w:val="00FB2233"/>
    <w:rsid w:val="00FB3A9A"/>
    <w:rsid w:val="00FB4517"/>
    <w:rsid w:val="00FB658C"/>
    <w:rsid w:val="00FB7179"/>
    <w:rsid w:val="00FC73A6"/>
    <w:rsid w:val="00FD0A4C"/>
    <w:rsid w:val="00FD7110"/>
    <w:rsid w:val="00FE0875"/>
    <w:rsid w:val="00FF29B9"/>
    <w:rsid w:val="00FF3808"/>
    <w:rsid w:val="00FF4A4B"/>
    <w:rsid w:val="00FF52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E16"/>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rsid w:val="00EA5E16"/>
    <w:rPr>
      <w:rFonts w:eastAsia="Times New Roman" w:cs="Times New Roman"/>
      <w:szCs w:val="24"/>
      <w:lang w:eastAsia="lv-LV"/>
    </w:rPr>
  </w:style>
  <w:style w:type="character" w:styleId="PageNumber">
    <w:name w:val="page number"/>
    <w:basedOn w:val="DefaultParagraphFont"/>
    <w:rsid w:val="00EA5E16"/>
  </w:style>
  <w:style w:type="paragraph" w:styleId="ListParagraph">
    <w:name w:val="List Paragraph"/>
    <w:basedOn w:val="Normal"/>
    <w:uiPriority w:val="34"/>
    <w:qFormat/>
    <w:rsid w:val="00910783"/>
    <w:pPr>
      <w:ind w:left="720"/>
      <w:contextualSpacing/>
    </w:pPr>
  </w:style>
  <w:style w:type="paragraph" w:styleId="Footer">
    <w:name w:val="footer"/>
    <w:basedOn w:val="Normal"/>
    <w:link w:val="FooterChar"/>
    <w:uiPriority w:val="99"/>
    <w:unhideWhenUsed/>
    <w:rsid w:val="00512911"/>
    <w:pPr>
      <w:tabs>
        <w:tab w:val="center" w:pos="4153"/>
        <w:tab w:val="right" w:pos="8306"/>
      </w:tabs>
    </w:pPr>
  </w:style>
  <w:style w:type="character" w:customStyle="1" w:styleId="FooterChar">
    <w:name w:val="Footer Char"/>
    <w:basedOn w:val="DefaultParagraphFont"/>
    <w:link w:val="Footer"/>
    <w:uiPriority w:val="99"/>
    <w:rsid w:val="00512911"/>
  </w:style>
  <w:style w:type="character" w:styleId="CommentReference">
    <w:name w:val="annotation reference"/>
    <w:basedOn w:val="DefaultParagraphFont"/>
    <w:unhideWhenUsed/>
    <w:rsid w:val="00F46166"/>
    <w:rPr>
      <w:sz w:val="16"/>
      <w:szCs w:val="16"/>
    </w:rPr>
  </w:style>
  <w:style w:type="paragraph" w:styleId="CommentText">
    <w:name w:val="annotation text"/>
    <w:basedOn w:val="Normal"/>
    <w:link w:val="CommentTextChar"/>
    <w:unhideWhenUsed/>
    <w:rsid w:val="00F46166"/>
    <w:rPr>
      <w:sz w:val="20"/>
      <w:szCs w:val="20"/>
    </w:rPr>
  </w:style>
  <w:style w:type="character" w:customStyle="1" w:styleId="CommentTextChar">
    <w:name w:val="Comment Text Char"/>
    <w:basedOn w:val="DefaultParagraphFont"/>
    <w:link w:val="CommentText"/>
    <w:rsid w:val="00F46166"/>
    <w:rPr>
      <w:sz w:val="20"/>
      <w:szCs w:val="20"/>
    </w:rPr>
  </w:style>
  <w:style w:type="paragraph" w:styleId="CommentSubject">
    <w:name w:val="annotation subject"/>
    <w:basedOn w:val="CommentText"/>
    <w:next w:val="CommentText"/>
    <w:link w:val="CommentSubjectChar"/>
    <w:uiPriority w:val="99"/>
    <w:semiHidden/>
    <w:unhideWhenUsed/>
    <w:rsid w:val="00F46166"/>
    <w:rPr>
      <w:b/>
      <w:bCs/>
    </w:rPr>
  </w:style>
  <w:style w:type="character" w:customStyle="1" w:styleId="CommentSubjectChar">
    <w:name w:val="Comment Subject Char"/>
    <w:basedOn w:val="CommentTextChar"/>
    <w:link w:val="CommentSubject"/>
    <w:uiPriority w:val="99"/>
    <w:semiHidden/>
    <w:rsid w:val="00F46166"/>
    <w:rPr>
      <w:b/>
      <w:bCs/>
      <w:sz w:val="20"/>
      <w:szCs w:val="20"/>
    </w:rPr>
  </w:style>
  <w:style w:type="paragraph" w:styleId="BalloonText">
    <w:name w:val="Balloon Text"/>
    <w:basedOn w:val="Normal"/>
    <w:link w:val="BalloonTextChar"/>
    <w:uiPriority w:val="99"/>
    <w:semiHidden/>
    <w:unhideWhenUsed/>
    <w:rsid w:val="00F46166"/>
    <w:rPr>
      <w:rFonts w:ascii="Tahoma" w:hAnsi="Tahoma" w:cs="Tahoma"/>
      <w:sz w:val="16"/>
      <w:szCs w:val="16"/>
    </w:rPr>
  </w:style>
  <w:style w:type="character" w:customStyle="1" w:styleId="BalloonTextChar">
    <w:name w:val="Balloon Text Char"/>
    <w:basedOn w:val="DefaultParagraphFont"/>
    <w:link w:val="BalloonText"/>
    <w:uiPriority w:val="99"/>
    <w:semiHidden/>
    <w:rsid w:val="00F46166"/>
    <w:rPr>
      <w:rFonts w:ascii="Tahoma" w:hAnsi="Tahoma" w:cs="Tahoma"/>
      <w:sz w:val="16"/>
      <w:szCs w:val="16"/>
    </w:rPr>
  </w:style>
  <w:style w:type="table" w:styleId="TableGrid">
    <w:name w:val="Table Grid"/>
    <w:basedOn w:val="TableNormal"/>
    <w:uiPriority w:val="59"/>
    <w:rsid w:val="0098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F41E9"/>
    <w:rPr>
      <w:rFonts w:cs="Times New Roman"/>
      <w:szCs w:val="24"/>
    </w:rPr>
  </w:style>
  <w:style w:type="character" w:styleId="Hyperlink">
    <w:name w:val="Hyperlink"/>
    <w:basedOn w:val="DefaultParagraphFont"/>
    <w:uiPriority w:val="99"/>
    <w:unhideWhenUsed/>
    <w:rsid w:val="00CC05C9"/>
    <w:rPr>
      <w:color w:val="0000FF" w:themeColor="hyperlink"/>
      <w:u w:val="single"/>
    </w:rPr>
  </w:style>
  <w:style w:type="paragraph" w:styleId="BodyText">
    <w:name w:val="Body Text"/>
    <w:basedOn w:val="Normal"/>
    <w:link w:val="BodyTextChar"/>
    <w:rsid w:val="0080142C"/>
    <w:pPr>
      <w:spacing w:after="120"/>
    </w:pPr>
    <w:rPr>
      <w:rFonts w:eastAsia="Times New Roman" w:cs="Times New Roman"/>
      <w:szCs w:val="24"/>
      <w:lang w:val="x-none" w:eastAsia="x-none"/>
    </w:rPr>
  </w:style>
  <w:style w:type="character" w:customStyle="1" w:styleId="BodyTextChar">
    <w:name w:val="Body Text Char"/>
    <w:basedOn w:val="DefaultParagraphFont"/>
    <w:link w:val="BodyText"/>
    <w:rsid w:val="0080142C"/>
    <w:rPr>
      <w:rFonts w:eastAsia="Times New Roman" w:cs="Times New Roman"/>
      <w:szCs w:val="24"/>
      <w:lang w:val="x-none" w:eastAsia="x-none"/>
    </w:rPr>
  </w:style>
  <w:style w:type="paragraph" w:customStyle="1" w:styleId="naisnod">
    <w:name w:val="naisnod"/>
    <w:basedOn w:val="Normal"/>
    <w:rsid w:val="007A2D8A"/>
    <w:pPr>
      <w:spacing w:before="150" w:after="150"/>
      <w:jc w:val="center"/>
    </w:pPr>
    <w:rPr>
      <w:rFonts w:eastAsia="Times New Roman" w:cs="Times New Roman"/>
      <w:b/>
      <w:bCs/>
      <w:szCs w:val="24"/>
      <w:lang w:eastAsia="lv-LV"/>
    </w:rPr>
  </w:style>
  <w:style w:type="paragraph" w:styleId="BodyTextIndent3">
    <w:name w:val="Body Text Indent 3"/>
    <w:basedOn w:val="Normal"/>
    <w:link w:val="BodyTextIndent3Char"/>
    <w:rsid w:val="007A2D8A"/>
    <w:pPr>
      <w:spacing w:after="120"/>
      <w:ind w:left="283"/>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rsid w:val="007A2D8A"/>
    <w:rPr>
      <w:rFonts w:eastAsia="Times New Roman" w:cs="Times New Roman"/>
      <w:sz w:val="16"/>
      <w:szCs w:val="16"/>
      <w:lang w:val="x-none" w:eastAsia="x-none"/>
    </w:rPr>
  </w:style>
  <w:style w:type="paragraph" w:customStyle="1" w:styleId="naislab">
    <w:name w:val="naislab"/>
    <w:basedOn w:val="Normal"/>
    <w:rsid w:val="007A2D8A"/>
    <w:pPr>
      <w:spacing w:before="100" w:beforeAutospacing="1" w:after="100" w:afterAutospacing="1"/>
    </w:pPr>
    <w:rPr>
      <w:rFonts w:eastAsia="Times New Roman" w:cs="Times New Roman"/>
      <w:szCs w:val="24"/>
      <w:lang w:eastAsia="lv-LV"/>
    </w:rPr>
  </w:style>
  <w:style w:type="paragraph" w:customStyle="1" w:styleId="Nobeigums">
    <w:name w:val="Nobeigums"/>
    <w:basedOn w:val="Normal"/>
    <w:rsid w:val="00B02790"/>
    <w:rPr>
      <w:rFonts w:eastAsia="Times New Roman" w:cs="Times New Roman"/>
      <w:szCs w:val="20"/>
      <w:lang w:val="en-US"/>
    </w:rPr>
  </w:style>
  <w:style w:type="paragraph" w:customStyle="1" w:styleId="naiskr">
    <w:name w:val="naiskr"/>
    <w:basedOn w:val="Normal"/>
    <w:rsid w:val="00CB0E59"/>
    <w:pPr>
      <w:spacing w:before="75" w:after="75"/>
    </w:pPr>
    <w:rPr>
      <w:rFonts w:eastAsia="Times New Roman" w:cs="Times New Roman"/>
      <w:szCs w:val="24"/>
      <w:lang w:eastAsia="lv-LV"/>
    </w:rPr>
  </w:style>
  <w:style w:type="paragraph" w:customStyle="1" w:styleId="naisf">
    <w:name w:val="naisf"/>
    <w:basedOn w:val="Normal"/>
    <w:rsid w:val="00613DAF"/>
    <w:pPr>
      <w:spacing w:before="75" w:after="75"/>
      <w:ind w:firstLine="375"/>
      <w:jc w:val="both"/>
    </w:pPr>
    <w:rPr>
      <w:rFonts w:eastAsia="Times New Roman" w:cs="Times New Roman"/>
      <w:szCs w:val="24"/>
      <w:lang w:eastAsia="lv-LV"/>
    </w:rPr>
  </w:style>
  <w:style w:type="paragraph" w:styleId="EnvelopeReturn">
    <w:name w:val="envelope return"/>
    <w:basedOn w:val="Normal"/>
    <w:uiPriority w:val="99"/>
    <w:rsid w:val="00D72AC2"/>
    <w:rPr>
      <w:rFonts w:ascii="Garamond" w:eastAsia="Times New Roman" w:hAnsi="Garamond" w:cs="Arial"/>
      <w:b/>
      <w:szCs w:val="24"/>
    </w:rPr>
  </w:style>
  <w:style w:type="paragraph" w:styleId="Signature">
    <w:name w:val="Signature"/>
    <w:basedOn w:val="Normal"/>
    <w:next w:val="EnvelopeReturn"/>
    <w:link w:val="SignatureChar"/>
    <w:rsid w:val="00D72AC2"/>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D72AC2"/>
    <w:rPr>
      <w:rFonts w:eastAsia="Times New Roman" w:cs="Times New Roman"/>
      <w:sz w:val="26"/>
      <w:szCs w:val="20"/>
      <w:lang w:val="en-AU"/>
    </w:rPr>
  </w:style>
  <w:style w:type="paragraph" w:customStyle="1" w:styleId="naisc">
    <w:name w:val="naisc"/>
    <w:basedOn w:val="Normal"/>
    <w:rsid w:val="00C72EEC"/>
    <w:pPr>
      <w:spacing w:before="75" w:after="75"/>
      <w:jc w:val="center"/>
    </w:pPr>
    <w:rPr>
      <w:rFonts w:eastAsia="Times New Roman" w:cs="Times New Roman"/>
      <w:szCs w:val="24"/>
      <w:lang w:eastAsia="lv-LV"/>
    </w:rPr>
  </w:style>
  <w:style w:type="character" w:customStyle="1" w:styleId="apple-converted-space">
    <w:name w:val="apple-converted-space"/>
    <w:basedOn w:val="DefaultParagraphFont"/>
    <w:rsid w:val="00C51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E16"/>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rsid w:val="00EA5E16"/>
    <w:rPr>
      <w:rFonts w:eastAsia="Times New Roman" w:cs="Times New Roman"/>
      <w:szCs w:val="24"/>
      <w:lang w:eastAsia="lv-LV"/>
    </w:rPr>
  </w:style>
  <w:style w:type="character" w:styleId="PageNumber">
    <w:name w:val="page number"/>
    <w:basedOn w:val="DefaultParagraphFont"/>
    <w:rsid w:val="00EA5E16"/>
  </w:style>
  <w:style w:type="paragraph" w:styleId="ListParagraph">
    <w:name w:val="List Paragraph"/>
    <w:basedOn w:val="Normal"/>
    <w:uiPriority w:val="34"/>
    <w:qFormat/>
    <w:rsid w:val="00910783"/>
    <w:pPr>
      <w:ind w:left="720"/>
      <w:contextualSpacing/>
    </w:pPr>
  </w:style>
  <w:style w:type="paragraph" w:styleId="Footer">
    <w:name w:val="footer"/>
    <w:basedOn w:val="Normal"/>
    <w:link w:val="FooterChar"/>
    <w:uiPriority w:val="99"/>
    <w:unhideWhenUsed/>
    <w:rsid w:val="00512911"/>
    <w:pPr>
      <w:tabs>
        <w:tab w:val="center" w:pos="4153"/>
        <w:tab w:val="right" w:pos="8306"/>
      </w:tabs>
    </w:pPr>
  </w:style>
  <w:style w:type="character" w:customStyle="1" w:styleId="FooterChar">
    <w:name w:val="Footer Char"/>
    <w:basedOn w:val="DefaultParagraphFont"/>
    <w:link w:val="Footer"/>
    <w:uiPriority w:val="99"/>
    <w:rsid w:val="00512911"/>
  </w:style>
  <w:style w:type="character" w:styleId="CommentReference">
    <w:name w:val="annotation reference"/>
    <w:basedOn w:val="DefaultParagraphFont"/>
    <w:unhideWhenUsed/>
    <w:rsid w:val="00F46166"/>
    <w:rPr>
      <w:sz w:val="16"/>
      <w:szCs w:val="16"/>
    </w:rPr>
  </w:style>
  <w:style w:type="paragraph" w:styleId="CommentText">
    <w:name w:val="annotation text"/>
    <w:basedOn w:val="Normal"/>
    <w:link w:val="CommentTextChar"/>
    <w:unhideWhenUsed/>
    <w:rsid w:val="00F46166"/>
    <w:rPr>
      <w:sz w:val="20"/>
      <w:szCs w:val="20"/>
    </w:rPr>
  </w:style>
  <w:style w:type="character" w:customStyle="1" w:styleId="CommentTextChar">
    <w:name w:val="Comment Text Char"/>
    <w:basedOn w:val="DefaultParagraphFont"/>
    <w:link w:val="CommentText"/>
    <w:rsid w:val="00F46166"/>
    <w:rPr>
      <w:sz w:val="20"/>
      <w:szCs w:val="20"/>
    </w:rPr>
  </w:style>
  <w:style w:type="paragraph" w:styleId="CommentSubject">
    <w:name w:val="annotation subject"/>
    <w:basedOn w:val="CommentText"/>
    <w:next w:val="CommentText"/>
    <w:link w:val="CommentSubjectChar"/>
    <w:uiPriority w:val="99"/>
    <w:semiHidden/>
    <w:unhideWhenUsed/>
    <w:rsid w:val="00F46166"/>
    <w:rPr>
      <w:b/>
      <w:bCs/>
    </w:rPr>
  </w:style>
  <w:style w:type="character" w:customStyle="1" w:styleId="CommentSubjectChar">
    <w:name w:val="Comment Subject Char"/>
    <w:basedOn w:val="CommentTextChar"/>
    <w:link w:val="CommentSubject"/>
    <w:uiPriority w:val="99"/>
    <w:semiHidden/>
    <w:rsid w:val="00F46166"/>
    <w:rPr>
      <w:b/>
      <w:bCs/>
      <w:sz w:val="20"/>
      <w:szCs w:val="20"/>
    </w:rPr>
  </w:style>
  <w:style w:type="paragraph" w:styleId="BalloonText">
    <w:name w:val="Balloon Text"/>
    <w:basedOn w:val="Normal"/>
    <w:link w:val="BalloonTextChar"/>
    <w:uiPriority w:val="99"/>
    <w:semiHidden/>
    <w:unhideWhenUsed/>
    <w:rsid w:val="00F46166"/>
    <w:rPr>
      <w:rFonts w:ascii="Tahoma" w:hAnsi="Tahoma" w:cs="Tahoma"/>
      <w:sz w:val="16"/>
      <w:szCs w:val="16"/>
    </w:rPr>
  </w:style>
  <w:style w:type="character" w:customStyle="1" w:styleId="BalloonTextChar">
    <w:name w:val="Balloon Text Char"/>
    <w:basedOn w:val="DefaultParagraphFont"/>
    <w:link w:val="BalloonText"/>
    <w:uiPriority w:val="99"/>
    <w:semiHidden/>
    <w:rsid w:val="00F46166"/>
    <w:rPr>
      <w:rFonts w:ascii="Tahoma" w:hAnsi="Tahoma" w:cs="Tahoma"/>
      <w:sz w:val="16"/>
      <w:szCs w:val="16"/>
    </w:rPr>
  </w:style>
  <w:style w:type="table" w:styleId="TableGrid">
    <w:name w:val="Table Grid"/>
    <w:basedOn w:val="TableNormal"/>
    <w:uiPriority w:val="59"/>
    <w:rsid w:val="0098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F41E9"/>
    <w:rPr>
      <w:rFonts w:cs="Times New Roman"/>
      <w:szCs w:val="24"/>
    </w:rPr>
  </w:style>
  <w:style w:type="character" w:styleId="Hyperlink">
    <w:name w:val="Hyperlink"/>
    <w:basedOn w:val="DefaultParagraphFont"/>
    <w:uiPriority w:val="99"/>
    <w:unhideWhenUsed/>
    <w:rsid w:val="00CC05C9"/>
    <w:rPr>
      <w:color w:val="0000FF" w:themeColor="hyperlink"/>
      <w:u w:val="single"/>
    </w:rPr>
  </w:style>
  <w:style w:type="paragraph" w:styleId="BodyText">
    <w:name w:val="Body Text"/>
    <w:basedOn w:val="Normal"/>
    <w:link w:val="BodyTextChar"/>
    <w:rsid w:val="0080142C"/>
    <w:pPr>
      <w:spacing w:after="120"/>
    </w:pPr>
    <w:rPr>
      <w:rFonts w:eastAsia="Times New Roman" w:cs="Times New Roman"/>
      <w:szCs w:val="24"/>
      <w:lang w:val="x-none" w:eastAsia="x-none"/>
    </w:rPr>
  </w:style>
  <w:style w:type="character" w:customStyle="1" w:styleId="BodyTextChar">
    <w:name w:val="Body Text Char"/>
    <w:basedOn w:val="DefaultParagraphFont"/>
    <w:link w:val="BodyText"/>
    <w:rsid w:val="0080142C"/>
    <w:rPr>
      <w:rFonts w:eastAsia="Times New Roman" w:cs="Times New Roman"/>
      <w:szCs w:val="24"/>
      <w:lang w:val="x-none" w:eastAsia="x-none"/>
    </w:rPr>
  </w:style>
  <w:style w:type="paragraph" w:customStyle="1" w:styleId="naisnod">
    <w:name w:val="naisnod"/>
    <w:basedOn w:val="Normal"/>
    <w:rsid w:val="007A2D8A"/>
    <w:pPr>
      <w:spacing w:before="150" w:after="150"/>
      <w:jc w:val="center"/>
    </w:pPr>
    <w:rPr>
      <w:rFonts w:eastAsia="Times New Roman" w:cs="Times New Roman"/>
      <w:b/>
      <w:bCs/>
      <w:szCs w:val="24"/>
      <w:lang w:eastAsia="lv-LV"/>
    </w:rPr>
  </w:style>
  <w:style w:type="paragraph" w:styleId="BodyTextIndent3">
    <w:name w:val="Body Text Indent 3"/>
    <w:basedOn w:val="Normal"/>
    <w:link w:val="BodyTextIndent3Char"/>
    <w:rsid w:val="007A2D8A"/>
    <w:pPr>
      <w:spacing w:after="120"/>
      <w:ind w:left="283"/>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rsid w:val="007A2D8A"/>
    <w:rPr>
      <w:rFonts w:eastAsia="Times New Roman" w:cs="Times New Roman"/>
      <w:sz w:val="16"/>
      <w:szCs w:val="16"/>
      <w:lang w:val="x-none" w:eastAsia="x-none"/>
    </w:rPr>
  </w:style>
  <w:style w:type="paragraph" w:customStyle="1" w:styleId="naislab">
    <w:name w:val="naislab"/>
    <w:basedOn w:val="Normal"/>
    <w:rsid w:val="007A2D8A"/>
    <w:pPr>
      <w:spacing w:before="100" w:beforeAutospacing="1" w:after="100" w:afterAutospacing="1"/>
    </w:pPr>
    <w:rPr>
      <w:rFonts w:eastAsia="Times New Roman" w:cs="Times New Roman"/>
      <w:szCs w:val="24"/>
      <w:lang w:eastAsia="lv-LV"/>
    </w:rPr>
  </w:style>
  <w:style w:type="paragraph" w:customStyle="1" w:styleId="Nobeigums">
    <w:name w:val="Nobeigums"/>
    <w:basedOn w:val="Normal"/>
    <w:rsid w:val="00B02790"/>
    <w:rPr>
      <w:rFonts w:eastAsia="Times New Roman" w:cs="Times New Roman"/>
      <w:szCs w:val="20"/>
      <w:lang w:val="en-US"/>
    </w:rPr>
  </w:style>
  <w:style w:type="paragraph" w:customStyle="1" w:styleId="naiskr">
    <w:name w:val="naiskr"/>
    <w:basedOn w:val="Normal"/>
    <w:rsid w:val="00CB0E59"/>
    <w:pPr>
      <w:spacing w:before="75" w:after="75"/>
    </w:pPr>
    <w:rPr>
      <w:rFonts w:eastAsia="Times New Roman" w:cs="Times New Roman"/>
      <w:szCs w:val="24"/>
      <w:lang w:eastAsia="lv-LV"/>
    </w:rPr>
  </w:style>
  <w:style w:type="paragraph" w:customStyle="1" w:styleId="naisf">
    <w:name w:val="naisf"/>
    <w:basedOn w:val="Normal"/>
    <w:rsid w:val="00613DAF"/>
    <w:pPr>
      <w:spacing w:before="75" w:after="75"/>
      <w:ind w:firstLine="375"/>
      <w:jc w:val="both"/>
    </w:pPr>
    <w:rPr>
      <w:rFonts w:eastAsia="Times New Roman" w:cs="Times New Roman"/>
      <w:szCs w:val="24"/>
      <w:lang w:eastAsia="lv-LV"/>
    </w:rPr>
  </w:style>
  <w:style w:type="paragraph" w:styleId="EnvelopeReturn">
    <w:name w:val="envelope return"/>
    <w:basedOn w:val="Normal"/>
    <w:uiPriority w:val="99"/>
    <w:rsid w:val="00D72AC2"/>
    <w:rPr>
      <w:rFonts w:ascii="Garamond" w:eastAsia="Times New Roman" w:hAnsi="Garamond" w:cs="Arial"/>
      <w:b/>
      <w:szCs w:val="24"/>
    </w:rPr>
  </w:style>
  <w:style w:type="paragraph" w:styleId="Signature">
    <w:name w:val="Signature"/>
    <w:basedOn w:val="Normal"/>
    <w:next w:val="EnvelopeReturn"/>
    <w:link w:val="SignatureChar"/>
    <w:rsid w:val="00D72AC2"/>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D72AC2"/>
    <w:rPr>
      <w:rFonts w:eastAsia="Times New Roman" w:cs="Times New Roman"/>
      <w:sz w:val="26"/>
      <w:szCs w:val="20"/>
      <w:lang w:val="en-AU"/>
    </w:rPr>
  </w:style>
  <w:style w:type="paragraph" w:customStyle="1" w:styleId="naisc">
    <w:name w:val="naisc"/>
    <w:basedOn w:val="Normal"/>
    <w:rsid w:val="00C72EEC"/>
    <w:pPr>
      <w:spacing w:before="75" w:after="75"/>
      <w:jc w:val="center"/>
    </w:pPr>
    <w:rPr>
      <w:rFonts w:eastAsia="Times New Roman" w:cs="Times New Roman"/>
      <w:szCs w:val="24"/>
      <w:lang w:eastAsia="lv-LV"/>
    </w:rPr>
  </w:style>
  <w:style w:type="character" w:customStyle="1" w:styleId="apple-converted-space">
    <w:name w:val="apple-converted-space"/>
    <w:basedOn w:val="DefaultParagraphFont"/>
    <w:rsid w:val="00C5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025">
      <w:bodyDiv w:val="1"/>
      <w:marLeft w:val="0"/>
      <w:marRight w:val="0"/>
      <w:marTop w:val="0"/>
      <w:marBottom w:val="0"/>
      <w:divBdr>
        <w:top w:val="none" w:sz="0" w:space="0" w:color="auto"/>
        <w:left w:val="none" w:sz="0" w:space="0" w:color="auto"/>
        <w:bottom w:val="none" w:sz="0" w:space="0" w:color="auto"/>
        <w:right w:val="none" w:sz="0" w:space="0" w:color="auto"/>
      </w:divBdr>
    </w:div>
    <w:div w:id="28183895">
      <w:bodyDiv w:val="1"/>
      <w:marLeft w:val="0"/>
      <w:marRight w:val="0"/>
      <w:marTop w:val="0"/>
      <w:marBottom w:val="0"/>
      <w:divBdr>
        <w:top w:val="none" w:sz="0" w:space="0" w:color="auto"/>
        <w:left w:val="none" w:sz="0" w:space="0" w:color="auto"/>
        <w:bottom w:val="none" w:sz="0" w:space="0" w:color="auto"/>
        <w:right w:val="none" w:sz="0" w:space="0" w:color="auto"/>
      </w:divBdr>
    </w:div>
    <w:div w:id="385179510">
      <w:bodyDiv w:val="1"/>
      <w:marLeft w:val="0"/>
      <w:marRight w:val="0"/>
      <w:marTop w:val="0"/>
      <w:marBottom w:val="0"/>
      <w:divBdr>
        <w:top w:val="none" w:sz="0" w:space="0" w:color="auto"/>
        <w:left w:val="none" w:sz="0" w:space="0" w:color="auto"/>
        <w:bottom w:val="none" w:sz="0" w:space="0" w:color="auto"/>
        <w:right w:val="none" w:sz="0" w:space="0" w:color="auto"/>
      </w:divBdr>
    </w:div>
    <w:div w:id="605968150">
      <w:bodyDiv w:val="1"/>
      <w:marLeft w:val="45"/>
      <w:marRight w:val="45"/>
      <w:marTop w:val="90"/>
      <w:marBottom w:val="90"/>
      <w:divBdr>
        <w:top w:val="none" w:sz="0" w:space="0" w:color="auto"/>
        <w:left w:val="none" w:sz="0" w:space="0" w:color="auto"/>
        <w:bottom w:val="none" w:sz="0" w:space="0" w:color="auto"/>
        <w:right w:val="none" w:sz="0" w:space="0" w:color="auto"/>
      </w:divBdr>
      <w:divsChild>
        <w:div w:id="1272515342">
          <w:marLeft w:val="0"/>
          <w:marRight w:val="0"/>
          <w:marTop w:val="0"/>
          <w:marBottom w:val="567"/>
          <w:divBdr>
            <w:top w:val="none" w:sz="0" w:space="0" w:color="auto"/>
            <w:left w:val="none" w:sz="0" w:space="0" w:color="auto"/>
            <w:bottom w:val="none" w:sz="0" w:space="0" w:color="auto"/>
            <w:right w:val="none" w:sz="0" w:space="0" w:color="auto"/>
          </w:divBdr>
        </w:div>
      </w:divsChild>
    </w:div>
    <w:div w:id="756513090">
      <w:bodyDiv w:val="1"/>
      <w:marLeft w:val="0"/>
      <w:marRight w:val="0"/>
      <w:marTop w:val="0"/>
      <w:marBottom w:val="0"/>
      <w:divBdr>
        <w:top w:val="none" w:sz="0" w:space="0" w:color="auto"/>
        <w:left w:val="none" w:sz="0" w:space="0" w:color="auto"/>
        <w:bottom w:val="none" w:sz="0" w:space="0" w:color="auto"/>
        <w:right w:val="none" w:sz="0" w:space="0" w:color="auto"/>
      </w:divBdr>
    </w:div>
    <w:div w:id="802767279">
      <w:bodyDiv w:val="1"/>
      <w:marLeft w:val="0"/>
      <w:marRight w:val="0"/>
      <w:marTop w:val="0"/>
      <w:marBottom w:val="0"/>
      <w:divBdr>
        <w:top w:val="none" w:sz="0" w:space="0" w:color="auto"/>
        <w:left w:val="none" w:sz="0" w:space="0" w:color="auto"/>
        <w:bottom w:val="none" w:sz="0" w:space="0" w:color="auto"/>
        <w:right w:val="none" w:sz="0" w:space="0" w:color="auto"/>
      </w:divBdr>
    </w:div>
    <w:div w:id="922951750">
      <w:bodyDiv w:val="1"/>
      <w:marLeft w:val="0"/>
      <w:marRight w:val="0"/>
      <w:marTop w:val="0"/>
      <w:marBottom w:val="0"/>
      <w:divBdr>
        <w:top w:val="none" w:sz="0" w:space="0" w:color="auto"/>
        <w:left w:val="none" w:sz="0" w:space="0" w:color="auto"/>
        <w:bottom w:val="none" w:sz="0" w:space="0" w:color="auto"/>
        <w:right w:val="none" w:sz="0" w:space="0" w:color="auto"/>
      </w:divBdr>
    </w:div>
    <w:div w:id="1212619276">
      <w:bodyDiv w:val="1"/>
      <w:marLeft w:val="0"/>
      <w:marRight w:val="0"/>
      <w:marTop w:val="0"/>
      <w:marBottom w:val="0"/>
      <w:divBdr>
        <w:top w:val="none" w:sz="0" w:space="0" w:color="auto"/>
        <w:left w:val="none" w:sz="0" w:space="0" w:color="auto"/>
        <w:bottom w:val="none" w:sz="0" w:space="0" w:color="auto"/>
        <w:right w:val="none" w:sz="0" w:space="0" w:color="auto"/>
      </w:divBdr>
    </w:div>
    <w:div w:id="1278441688">
      <w:bodyDiv w:val="1"/>
      <w:marLeft w:val="0"/>
      <w:marRight w:val="0"/>
      <w:marTop w:val="0"/>
      <w:marBottom w:val="0"/>
      <w:divBdr>
        <w:top w:val="none" w:sz="0" w:space="0" w:color="auto"/>
        <w:left w:val="none" w:sz="0" w:space="0" w:color="auto"/>
        <w:bottom w:val="none" w:sz="0" w:space="0" w:color="auto"/>
        <w:right w:val="none" w:sz="0" w:space="0" w:color="auto"/>
      </w:divBdr>
    </w:div>
    <w:div w:id="1282568996">
      <w:bodyDiv w:val="1"/>
      <w:marLeft w:val="0"/>
      <w:marRight w:val="0"/>
      <w:marTop w:val="0"/>
      <w:marBottom w:val="0"/>
      <w:divBdr>
        <w:top w:val="none" w:sz="0" w:space="0" w:color="auto"/>
        <w:left w:val="none" w:sz="0" w:space="0" w:color="auto"/>
        <w:bottom w:val="none" w:sz="0" w:space="0" w:color="auto"/>
        <w:right w:val="none" w:sz="0" w:space="0" w:color="auto"/>
      </w:divBdr>
    </w:div>
    <w:div w:id="1316227429">
      <w:bodyDiv w:val="1"/>
      <w:marLeft w:val="0"/>
      <w:marRight w:val="0"/>
      <w:marTop w:val="0"/>
      <w:marBottom w:val="0"/>
      <w:divBdr>
        <w:top w:val="none" w:sz="0" w:space="0" w:color="auto"/>
        <w:left w:val="none" w:sz="0" w:space="0" w:color="auto"/>
        <w:bottom w:val="none" w:sz="0" w:space="0" w:color="auto"/>
        <w:right w:val="none" w:sz="0" w:space="0" w:color="auto"/>
      </w:divBdr>
    </w:div>
    <w:div w:id="1388383413">
      <w:bodyDiv w:val="1"/>
      <w:marLeft w:val="0"/>
      <w:marRight w:val="0"/>
      <w:marTop w:val="0"/>
      <w:marBottom w:val="0"/>
      <w:divBdr>
        <w:top w:val="none" w:sz="0" w:space="0" w:color="auto"/>
        <w:left w:val="none" w:sz="0" w:space="0" w:color="auto"/>
        <w:bottom w:val="none" w:sz="0" w:space="0" w:color="auto"/>
        <w:right w:val="none" w:sz="0" w:space="0" w:color="auto"/>
      </w:divBdr>
    </w:div>
    <w:div w:id="1565068213">
      <w:bodyDiv w:val="1"/>
      <w:marLeft w:val="0"/>
      <w:marRight w:val="0"/>
      <w:marTop w:val="0"/>
      <w:marBottom w:val="0"/>
      <w:divBdr>
        <w:top w:val="none" w:sz="0" w:space="0" w:color="auto"/>
        <w:left w:val="none" w:sz="0" w:space="0" w:color="auto"/>
        <w:bottom w:val="none" w:sz="0" w:space="0" w:color="auto"/>
        <w:right w:val="none" w:sz="0" w:space="0" w:color="auto"/>
      </w:divBdr>
    </w:div>
    <w:div w:id="2051104113">
      <w:bodyDiv w:val="1"/>
      <w:marLeft w:val="0"/>
      <w:marRight w:val="0"/>
      <w:marTop w:val="0"/>
      <w:marBottom w:val="0"/>
      <w:divBdr>
        <w:top w:val="none" w:sz="0" w:space="0" w:color="auto"/>
        <w:left w:val="none" w:sz="0" w:space="0" w:color="auto"/>
        <w:bottom w:val="none" w:sz="0" w:space="0" w:color="auto"/>
        <w:right w:val="none" w:sz="0" w:space="0" w:color="auto"/>
      </w:divBdr>
    </w:div>
    <w:div w:id="21056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DFADA-C684-480D-A7F1-F261A5F0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15363</Words>
  <Characters>8758</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Ministru kabineta instrukcijas projekta „Grozījumi Ministru kabineta 2012.gada 2.oktobra instrukcijā Nr.12 „Dienesta vieglo automobiļu iegādes un nomas kārtība””</vt:lpstr>
    </vt:vector>
  </TitlesOfParts>
  <Company>Finanšu ministrija</Company>
  <LinksUpToDate>false</LinksUpToDate>
  <CharactersWithSpaces>24073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„Grozījumi Ministru kabineta 2012.gada 2.oktobra instrukcijā Nr.12 „Dienesta vieglo automobiļu iegādes un nomas kārtība””</dc:title>
  <dc:subject>Anotācija</dc:subject>
  <dc:creator>K.Mužica</dc:creator>
  <dc:description>Kristine.Muzica@fm.gov.lv_x000d_
Tel.:67095439</dc:description>
  <cp:lastModifiedBy>Sandra Liniņa</cp:lastModifiedBy>
  <cp:revision>14</cp:revision>
  <cp:lastPrinted>2016-08-26T11:24:00Z</cp:lastPrinted>
  <dcterms:created xsi:type="dcterms:W3CDTF">2016-07-28T11:39:00Z</dcterms:created>
  <dcterms:modified xsi:type="dcterms:W3CDTF">2016-08-29T10:33:00Z</dcterms:modified>
</cp:coreProperties>
</file>